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Financial Balance Sheet of Childlessness</w:t>
      </w:r>
    </w:p>
    <w:p>
      <w:pPr>
        <w:pStyle w:val="Subtitle"/>
      </w:pPr>
      <w:r>
        <w:t xml:space="preserve">An Analysis of Household Wealth, Debt, and Credit Constraints in the 2022 Survey of Consumer Finances</w:t>
      </w:r>
    </w:p>
    <w:p>
      <w:pPr>
        <w:pStyle w:val="Author"/>
      </w:pPr>
      <w:r>
        <w:t xml:space="preserve">Delroy Nichols</w:t>
      </w:r>
    </w:p>
    <w:p>
      <w:pPr>
        <w:pStyle w:val="Date"/>
      </w:pPr>
      <w:r>
        <w:t xml:space="preserve">2026-04-03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examines the financial correlates of childlessness among prime-age U.S.</w:t>
      </w:r>
      <w:r>
        <w:t xml:space="preserve"> </w:t>
      </w:r>
      <w:r>
        <w:t xml:space="preserve">households. While demographic research has extensively studied the social and cultural</w:t>
      </w:r>
      <w:r>
        <w:t xml:space="preserve"> </w:t>
      </w:r>
      <w:r>
        <w:t xml:space="preserve">drivers of fertility decline, the detailed financial circumstances of childless</w:t>
      </w:r>
      <w:r>
        <w:t xml:space="preserve"> </w:t>
      </w:r>
      <w:r>
        <w:t xml:space="preserve">households — particularly their assets, debts, and access to credit — remain less well</w:t>
      </w:r>
      <w:r>
        <w:t xml:space="preserve"> </w:t>
      </w:r>
      <w:r>
        <w:t xml:space="preserve">understood. Using replicate-weighted, multiply-imputed data from the 2022 Survey of</w:t>
      </w:r>
      <w:r>
        <w:t xml:space="preserve"> </w:t>
      </w:r>
      <w:r>
        <w:t xml:space="preserve">Consumer Finances (SCF), we analyze households headed by individuals aged 31–44 and</w:t>
      </w:r>
      <w:r>
        <w:t xml:space="preserve"> </w:t>
      </w:r>
      <w:r>
        <w:t xml:space="preserve">define childlessness as having no co-resident children, a measure that captures a</w:t>
      </w:r>
      <w:r>
        <w:t xml:space="preserve"> </w:t>
      </w:r>
      <w:r>
        <w:t xml:space="preserve">household’s current living arrangement rather than biological fertility history.</w:t>
      </w:r>
    </w:p>
    <w:p>
      <w:pPr>
        <w:pStyle w:val="BodyText"/>
      </w:pPr>
      <w:r>
        <w:t xml:space="preserve">Our logistic regression models reveal that, beyond powerful demographic predictors like</w:t>
      </w:r>
      <w:r>
        <w:t xml:space="preserve"> </w:t>
      </w:r>
      <w:r>
        <w:t xml:space="preserve">marital status and education, specific financial variables are strongly associated with</w:t>
      </w:r>
      <w:r>
        <w:t xml:space="preserve"> </w:t>
      </w:r>
      <w:r>
        <w:t xml:space="preserve">childlessness. Holding higher levels of retirement assets is positively associated with</w:t>
      </w:r>
      <w:r>
        <w:t xml:space="preserve"> </w:t>
      </w:r>
      <w:r>
        <w:t xml:space="preserve">childlessness, consistent with an opportunity cost framework in which long-term savings</w:t>
      </w:r>
      <w:r>
        <w:t xml:space="preserve"> </w:t>
      </w:r>
      <w:r>
        <w:t xml:space="preserve">and family formation compete for household resources. Conversely, households that have</w:t>
      </w:r>
      <w:r>
        <w:t xml:space="preserve"> </w:t>
      </w:r>
      <w:r>
        <w:t xml:space="preserve">experienced credit denial are more likely to be childless, suggesting that financial</w:t>
      </w:r>
      <w:r>
        <w:t xml:space="preserve"> </w:t>
      </w:r>
      <w:r>
        <w:t xml:space="preserve">exclusion and the instability it signals may constitute a barrier to family formation.</w:t>
      </w:r>
      <w:r>
        <w:t xml:space="preserve"> </w:t>
      </w:r>
      <w:r>
        <w:t xml:space="preserve">Income and net worth, by contrast, are not significant predictors after other financial</w:t>
      </w:r>
      <w:r>
        <w:t xml:space="preserve"> </w:t>
      </w:r>
      <w:r>
        <w:t xml:space="preserve">characteristics are controlled.</w:t>
      </w:r>
    </w:p>
    <w:p>
      <w:pPr>
        <w:pStyle w:val="BodyText"/>
      </w:pPr>
      <w:r>
        <w:t xml:space="preserve">This study repositions the economic dimension of childlessness beyond simple income</w:t>
      </w:r>
      <w:r>
        <w:t xml:space="preserve"> </w:t>
      </w:r>
      <w:r>
        <w:t xml:space="preserve">measures, demonstrating that the composition of the household balance sheet — what a</w:t>
      </w:r>
      <w:r>
        <w:t xml:space="preserve"> </w:t>
      </w:r>
      <w:r>
        <w:t xml:space="preserve">household owns, what it owes, and whether it can access credit — matters more than</w:t>
      </w:r>
      <w:r>
        <w:t xml:space="preserve"> </w:t>
      </w:r>
      <w:r>
        <w:t xml:space="preserve">aggregate financial resources for understanding the economic context of family formation.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rise of childlessness is a defining demographic trend of the 21st century. The U.S.</w:t>
      </w:r>
      <w:r>
        <w:t xml:space="preserve"> </w:t>
      </w:r>
      <w:r>
        <w:t xml:space="preserve">total fertility rate has fallen below replacement and continued to decline through 2023</w:t>
      </w:r>
      <w:r>
        <w:t xml:space="preserve"> </w:t>
      </w:r>
      <w:r>
        <w:t xml:space="preserve">(Osterman et al., 2023; Camarota &amp; Zeigler, 2025). A vast body of work has explored the</w:t>
      </w:r>
      <w:r>
        <w:t xml:space="preserve"> </w:t>
      </w:r>
      <w:r>
        <w:t xml:space="preserve">demographic and social drivers of this trend, from educational attainment and marital</w:t>
      </w:r>
      <w:r>
        <w:t xml:space="preserve"> </w:t>
      </w:r>
      <w:r>
        <w:t xml:space="preserve">patterns to shifting cultural norms and, more recently, immigration-related compositional</w:t>
      </w:r>
      <w:r>
        <w:t xml:space="preserve"> </w:t>
      </w:r>
      <w:r>
        <w:t xml:space="preserve">effects (Parrado &amp; Morgan, 2008; Adserà &amp; Ferrer, 2015; Zill, 2025). Yet the economic</w:t>
      </w:r>
      <w:r>
        <w:t xml:space="preserve"> </w:t>
      </w:r>
      <w:r>
        <w:t xml:space="preserve">dimension is often simplified to measures of income or employment status, collapsing the</w:t>
      </w:r>
      <w:r>
        <w:t xml:space="preserve"> </w:t>
      </w:r>
      <w:r>
        <w:t xml:space="preserve">richness of household finances into a single axis.</w:t>
      </w:r>
    </w:p>
    <w:p>
      <w:pPr>
        <w:pStyle w:val="BodyText"/>
      </w:pPr>
      <w:r>
        <w:t xml:space="preserve">This paper argues for a more comprehensive financial perspective. A household’s</w:t>
      </w:r>
      <w:r>
        <w:t xml:space="preserve"> </w:t>
      </w:r>
      <w:r>
        <w:t xml:space="preserve">decision-making, opportunities, and constraints are shaped not just by income flows but</w:t>
      </w:r>
      <w:r>
        <w:t xml:space="preserve"> </w:t>
      </w:r>
      <w:r>
        <w:t xml:space="preserve">by its entire balance sheet: what it owns (assets), what it owes (debts), and whether it</w:t>
      </w:r>
      <w:r>
        <w:t xml:space="preserve"> </w:t>
      </w:r>
      <w:r>
        <w:t xml:space="preserve">can access credit. A household with $80,000 in retirement savings, $15,000 in student</w:t>
      </w:r>
      <w:r>
        <w:t xml:space="preserve"> </w:t>
      </w:r>
      <w:r>
        <w:t xml:space="preserve">loans, and a recent credit denial inhabits a fundamentally different economic reality than</w:t>
      </w:r>
      <w:r>
        <w:t xml:space="preserve"> </w:t>
      </w:r>
      <w:r>
        <w:t xml:space="preserve">one with $80,000 in income — even though both might appear similar on a single financial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Using the unparalleled financial detail of the Survey of Consumer Finances (SCF), this</w:t>
      </w:r>
      <w:r>
        <w:t xml:space="preserve"> </w:t>
      </w:r>
      <w:r>
        <w:t xml:space="preserve">paper asks:</w:t>
      </w:r>
      <w:r>
        <w:t xml:space="preserve"> </w:t>
      </w:r>
      <w:r>
        <w:rPr>
          <w:b/>
          <w:bCs/>
        </w:rPr>
        <w:t xml:space="preserve">What are the financial correlates of co-resident childlessness among</w:t>
      </w:r>
      <w:r>
        <w:rPr>
          <w:b/>
          <w:bCs/>
        </w:rPr>
        <w:t xml:space="preserve"> </w:t>
      </w:r>
      <w:r>
        <w:rPr>
          <w:b/>
          <w:bCs/>
        </w:rPr>
        <w:t xml:space="preserve">prime-age U.S. households?</w:t>
      </w:r>
      <w:r>
        <w:t xml:space="preserve"> </w:t>
      </w:r>
      <w:r>
        <w:t xml:space="preserve">We move beyond income to investigate how different forms of</w:t>
      </w:r>
      <w:r>
        <w:t xml:space="preserve"> </w:t>
      </w:r>
      <w:r>
        <w:t xml:space="preserve">wealth (retirement vs. liquid assets), debt (installment loans vs. credit card balances),</w:t>
      </w:r>
      <w:r>
        <w:t xml:space="preserve"> </w:t>
      </w:r>
      <w:r>
        <w:t xml:space="preserve">and credit access are associated with the likelihood of a household having no children</w:t>
      </w:r>
      <w:r>
        <w:t xml:space="preserve"> </w:t>
      </w:r>
      <w:r>
        <w:t xml:space="preserve">present. By centering the analysis on the SCF’s core strength — granular financial data —</w:t>
      </w:r>
      <w:r>
        <w:t xml:space="preserve"> </w:t>
      </w:r>
      <w:r>
        <w:t xml:space="preserve">we provide a descriptive but deeply nuanced portrait of the economic trade-offs and</w:t>
      </w:r>
      <w:r>
        <w:t xml:space="preserve"> </w:t>
      </w:r>
      <w:r>
        <w:t xml:space="preserve">circumstances linked to household structure during the prime family formation years.</w:t>
      </w:r>
    </w:p>
    <w:p>
      <w:pPr>
        <w:pStyle w:val="BodyText"/>
      </w:pPr>
      <w:r>
        <w:t xml:space="preserve">This paper serves as a companion to a primary analysis of credit card indebtedness using</w:t>
      </w:r>
      <w:r>
        <w:t xml:space="preserve"> </w:t>
      </w:r>
      <w:r>
        <w:t xml:space="preserve">the same dataset, in which the transition to parenthood was identified as the strongest</w:t>
      </w:r>
      <w:r>
        <w:t xml:space="preserve"> </w:t>
      </w:r>
      <w:r>
        <w:t xml:space="preserve">demographic predictor of carrying revolving credit card debt. The present analysis</w:t>
      </w:r>
      <w:r>
        <w:t xml:space="preserve"> </w:t>
      </w:r>
      <w:r>
        <w:t xml:space="preserve">inverts that question: given what we know about the financial burdens of parenthood, what</w:t>
      </w:r>
      <w:r>
        <w:t xml:space="preserve"> </w:t>
      </w:r>
      <w:r>
        <w:t xml:space="preserve">does the financial profile of childless households look like?</w:t>
      </w:r>
    </w:p>
    <w:p>
      <w:r>
        <w:pict>
          <v:rect style="width:0;height:1.5pt" o:hralign="center" o:hrstd="t" o:hr="t"/>
        </w:pict>
      </w:r>
    </w:p>
    <w:bookmarkEnd w:id="10"/>
    <w:bookmarkStart w:id="15" w:name="data-and-methods"/>
    <w:p>
      <w:pPr>
        <w:pStyle w:val="Heading1"/>
      </w:pPr>
      <w:r>
        <w:t xml:space="preserve">Data and Methods</w:t>
      </w:r>
    </w:p>
    <w:bookmarkStart w:id="11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We use the 2022 Survey of Consumer Finances (SCF), a triennial cross-sectional survey of</w:t>
      </w:r>
      <w:r>
        <w:t xml:space="preserve"> </w:t>
      </w:r>
      <w:r>
        <w:t xml:space="preserve">U.S. households conducted by the Federal Reserve Board in cooperation with NORC at the</w:t>
      </w:r>
      <w:r>
        <w:t xml:space="preserve"> </w:t>
      </w:r>
      <w:r>
        <w:t xml:space="preserve">University of Chicago. The SCF employs a dual-frame design combining area-probability</w:t>
      </w:r>
      <w:r>
        <w:t xml:space="preserve"> </w:t>
      </w:r>
      <w:r>
        <w:t xml:space="preserve">sampling with a list-based oversample of wealthy households drawn from IRS records. The</w:t>
      </w:r>
      <w:r>
        <w:t xml:space="preserve"> </w:t>
      </w:r>
      <w:r>
        <w:t xml:space="preserve">resulting dataset is the most detailed publicly available source of information on</w:t>
      </w:r>
      <w:r>
        <w:t xml:space="preserve"> </w:t>
      </w:r>
      <w:r>
        <w:t xml:space="preserve">household balance sheets, income, pensions, and credit experiences in the United States</w:t>
      </w:r>
      <w:r>
        <w:t xml:space="preserve"> </w:t>
      </w:r>
      <w:r>
        <w:t xml:space="preserve">(Bricker et al., 2023).</w:t>
      </w:r>
    </w:p>
    <w:p>
      <w:pPr>
        <w:pStyle w:val="BodyText"/>
      </w:pPr>
      <w:r>
        <w:t xml:space="preserve">The SCF addresses item nonresponse through multiple imputation, providing five complete</w:t>
      </w:r>
      <w:r>
        <w:t xml:space="preserve"> </w:t>
      </w:r>
      <w:r>
        <w:t xml:space="preserve">implicates of the dataset. All analyses account for this structure using Rubin’s Rules,</w:t>
      </w:r>
      <w:r>
        <w:t xml:space="preserve"> </w:t>
      </w:r>
      <w:r>
        <w:t xml:space="preserve">as implemented by the</w:t>
      </w:r>
      <w:r>
        <w:t xml:space="preserve"> </w:t>
      </w:r>
      <w:r>
        <w:rPr>
          <w:rStyle w:val="VerbatimChar"/>
        </w:rPr>
        <w:t xml:space="preserve">scf</w:t>
      </w:r>
      <w:r>
        <w:t xml:space="preserve"> </w:t>
      </w:r>
      <w:r>
        <w:t xml:space="preserve">R package (Cohen, 2025). Survey replicate weights (balanced</w:t>
      </w:r>
      <w:r>
        <w:t xml:space="preserve"> </w:t>
      </w:r>
      <w:r>
        <w:t xml:space="preserve">repeated replication) are used throughout to produce design-consistent variance estimates.</w:t>
      </w:r>
    </w:p>
    <w:bookmarkEnd w:id="11"/>
    <w:bookmarkStart w:id="12" w:name="sample"/>
    <w:p>
      <w:pPr>
        <w:pStyle w:val="Heading2"/>
      </w:pPr>
      <w:r>
        <w:t xml:space="preserve">Sample</w:t>
      </w:r>
    </w:p>
    <w:p>
      <w:pPr>
        <w:pStyle w:val="FirstParagraph"/>
      </w:pPr>
      <w:r>
        <w:t xml:space="preserve">We restrict the analysis to households where the reference person is aged 31–44. This</w:t>
      </w:r>
      <w:r>
        <w:t xml:space="preserve"> </w:t>
      </w:r>
      <w:r>
        <w:t xml:space="preserve">window captures the prime family formation years — past the median age at first birth in</w:t>
      </w:r>
      <w:r>
        <w:t xml:space="preserve"> </w:t>
      </w:r>
      <w:r>
        <w:t xml:space="preserve">the United States (approximately 27; Osterman et al., 2023) but before the conventional</w:t>
      </w:r>
      <w:r>
        <w:t xml:space="preserve"> </w:t>
      </w:r>
      <w:r>
        <w:t xml:space="preserve">boundary for completed fertility (age 44) used in demographic research (Guzzo &amp; Loo,</w:t>
      </w:r>
      <w:r>
        <w:t xml:space="preserve"> </w:t>
      </w:r>
      <w:r>
        <w:t xml:space="preserve">2023). The restriction yields approximately 1,000 households per implicate.</w:t>
      </w:r>
    </w:p>
    <w:bookmarkEnd w:id="12"/>
    <w:bookmarkStart w:id="13" w:name="outcome-variable"/>
    <w:p>
      <w:pPr>
        <w:pStyle w:val="Heading2"/>
      </w:pPr>
      <w:r>
        <w:t xml:space="preserve">Outcome Variable</w:t>
      </w:r>
    </w:p>
    <w:p>
      <w:pPr>
        <w:pStyle w:val="FirstParagraph"/>
      </w:pPr>
      <w:r>
        <w:t xml:space="preserve">The primary outcome,</w:t>
      </w:r>
      <w:r>
        <w:t xml:space="preserve"> </w:t>
      </w:r>
      <w:r>
        <w:rPr>
          <w:rStyle w:val="VerbatimChar"/>
        </w:rPr>
        <w:t xml:space="preserve">childless_prime</w:t>
      </w:r>
      <w:r>
        <w:t xml:space="preserve">, is an indicator equal to 1 if the reference</w:t>
      </w:r>
      <w:r>
        <w:t xml:space="preserve"> </w:t>
      </w:r>
      <w:r>
        <w:t xml:space="preserve">person is aged 31–44 and reports zero children currently residing in the household.</w:t>
      </w:r>
    </w:p>
    <w:p>
      <w:pPr>
        <w:pStyle w:val="BodyText"/>
      </w:pPr>
      <w:r>
        <w:rPr>
          <w:b/>
          <w:bCs/>
        </w:rPr>
        <w:t xml:space="preserve">It is critical to underscore the precise nature of this variable.</w:t>
      </w:r>
      <w:r>
        <w:t xml:space="preserve"> </w:t>
      </w:r>
      <w:r>
        <w:t xml:space="preserve">It is a measure of</w:t>
      </w:r>
      <w:r>
        <w:t xml:space="preserve"> </w:t>
      </w:r>
      <w:r>
        <w:t xml:space="preserve">co-resident child status, not biological fertility. This measure will systematically</w:t>
      </w:r>
      <w:r>
        <w:t xml:space="preserve"> </w:t>
      </w:r>
      <w:r>
        <w:t xml:space="preserve">misclassify non-custodial parents — primarily fathers whose children reside with another</w:t>
      </w:r>
      <w:r>
        <w:t xml:space="preserve"> </w:t>
      </w:r>
      <w:r>
        <w:t xml:space="preserve">parent — as childless. It may also misclassify parents whose children live with</w:t>
      </w:r>
      <w:r>
        <w:t xml:space="preserve"> </w:t>
      </w:r>
      <w:r>
        <w:t xml:space="preserve">grandparents or other relatives. This misclassification is non-trivial and is likely</w:t>
      </w:r>
      <w:r>
        <w:t xml:space="preserve"> </w:t>
      </w:r>
      <w:r>
        <w:t xml:space="preserve">correlated with key predictors including race, marital status, and income.</w:t>
      </w:r>
    </w:p>
    <w:p>
      <w:pPr>
        <w:pStyle w:val="BodyText"/>
      </w:pPr>
      <w:r>
        <w:t xml:space="preserve">However, this measure is the only indicator of child status available in the SCF. The</w:t>
      </w:r>
      <w:r>
        <w:t xml:space="preserve"> </w:t>
      </w:r>
      <w:r>
        <w:t xml:space="preserve">primary justification for using the SCF despite this limitation is its status as the gold</w:t>
      </w:r>
      <w:r>
        <w:t xml:space="preserve"> </w:t>
      </w:r>
      <w:r>
        <w:t xml:space="preserve">standard for household financial data. No other survey provides comparable granularity on</w:t>
      </w:r>
      <w:r>
        <w:t xml:space="preserve"> </w:t>
      </w:r>
      <w:r>
        <w:t xml:space="preserve">assets, liabilities, income sources, and credit experiences. The trade-off is explicit:</w:t>
      </w:r>
      <w:r>
        <w:t xml:space="preserve"> </w:t>
      </w:r>
      <w:r>
        <w:t xml:space="preserve">we sacrifice precision in the fertility measure to gain depth in the financial measures,</w:t>
      </w:r>
      <w:r>
        <w:t xml:space="preserve"> </w:t>
      </w:r>
      <w:r>
        <w:t xml:space="preserve">and we interpret all findings accordingly as pertaining to co-resident childlessness, not</w:t>
      </w:r>
      <w:r>
        <w:t xml:space="preserve"> </w:t>
      </w:r>
      <w:r>
        <w:t xml:space="preserve">biological childlessness.</w:t>
      </w:r>
    </w:p>
    <w:bookmarkEnd w:id="13"/>
    <w:bookmarkStart w:id="14" w:name="predictor-variables"/>
    <w:p>
      <w:pPr>
        <w:pStyle w:val="Heading2"/>
      </w:pPr>
      <w:r>
        <w:t xml:space="preserve">Predictor Variables</w:t>
      </w:r>
    </w:p>
    <w:p>
      <w:pPr>
        <w:pStyle w:val="FirstParagraph"/>
      </w:pPr>
      <w:r>
        <w:t xml:space="preserve">Our key financial predictors, summarized below, are grouped by balance sheet category.</w:t>
      </w:r>
      <w:r>
        <w:t xml:space="preserve"> </w:t>
      </w:r>
      <w:r>
        <w:t xml:space="preserve">All continuous financial variables are transformed using the inverse hyperbolic sine</w:t>
      </w:r>
      <w:r>
        <w:t xml:space="preserve"> </w:t>
      </w:r>
      <w:r>
        <w:t xml:space="preserve">(asinh), which accommodates zeros and negative values while approximating a log</w:t>
      </w:r>
      <w:r>
        <w:t xml:space="preserve"> </w:t>
      </w:r>
      <w:r>
        <w:t xml:space="preserve">transformation for large values.</w:t>
      </w:r>
    </w:p>
    <w:p>
      <w:pPr>
        <w:pStyle w:val="BodyText"/>
      </w:pPr>
      <w:r>
        <w:rPr>
          <w:b/>
          <w:bCs/>
        </w:rPr>
        <w:t xml:space="preserve">Assets:</w:t>
      </w:r>
      <w:r>
        <w:t xml:space="preserve"> </w:t>
      </w:r>
      <w:r>
        <w:t xml:space="preserve">retirement and quasi-liquid assets (</w:t>
      </w:r>
      <w:r>
        <w:rPr>
          <w:rStyle w:val="VerbatimChar"/>
        </w:rPr>
        <w:t xml:space="preserve">asinh_retqliq</w:t>
      </w:r>
      <w:r>
        <w:t xml:space="preserve">), liquid transaction</w:t>
      </w:r>
      <w:r>
        <w:t xml:space="preserve"> </w:t>
      </w:r>
      <w:r>
        <w:t xml:space="preserve">accounts (</w:t>
      </w:r>
      <w:r>
        <w:rPr>
          <w:rStyle w:val="VerbatimChar"/>
        </w:rPr>
        <w:t xml:space="preserve">asinh_liq</w:t>
      </w:r>
      <w:r>
        <w:t xml:space="preserve">), directly held stocks (</w:t>
      </w:r>
      <w:r>
        <w:rPr>
          <w:rStyle w:val="VerbatimChar"/>
        </w:rPr>
        <w:t xml:space="preserve">asinh_stocks</w:t>
      </w:r>
      <w:r>
        <w:t xml:space="preserve">), pooled investment funds</w:t>
      </w:r>
      <w:r>
        <w:t xml:space="preserve"> </w:t>
      </w:r>
      <w:r>
        <w:t xml:space="preserve">(</w:t>
      </w:r>
      <w:r>
        <w:rPr>
          <w:rStyle w:val="VerbatimChar"/>
        </w:rPr>
        <w:t xml:space="preserve">asinh_nmmf</w:t>
      </w:r>
      <w:r>
        <w:t xml:space="preserve">), home equity (</w:t>
      </w:r>
      <w:r>
        <w:rPr>
          <w:rStyle w:val="VerbatimChar"/>
        </w:rPr>
        <w:t xml:space="preserve">asinh_homeeq</w:t>
      </w:r>
      <w:r>
        <w:t xml:space="preserve">), vehicle value (</w:t>
      </w:r>
      <w:r>
        <w:rPr>
          <w:rStyle w:val="VerbatimChar"/>
        </w:rPr>
        <w:t xml:space="preserve">asinh_vehic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Debts:</w:t>
      </w:r>
      <w:r>
        <w:t xml:space="preserve"> </w:t>
      </w:r>
      <w:r>
        <w:t xml:space="preserve">installment debt (</w:t>
      </w:r>
      <w:r>
        <w:rPr>
          <w:rStyle w:val="VerbatimChar"/>
        </w:rPr>
        <w:t xml:space="preserve">asinh_install</w:t>
      </w:r>
      <w:r>
        <w:t xml:space="preserve">), education debt (</w:t>
      </w:r>
      <w:r>
        <w:rPr>
          <w:rStyle w:val="VerbatimChar"/>
        </w:rPr>
        <w:t xml:space="preserve">asinh_edn_inst</w:t>
      </w:r>
      <w:r>
        <w:t xml:space="preserve">),</w:t>
      </w:r>
      <w:r>
        <w:t xml:space="preserve"> </w:t>
      </w:r>
      <w:r>
        <w:t xml:space="preserve">non-credit-card debt (</w:t>
      </w:r>
      <w:r>
        <w:rPr>
          <w:rStyle w:val="VerbatimChar"/>
        </w:rPr>
        <w:t xml:space="preserve">asinh_debt_excl_cc</w:t>
      </w:r>
      <w:r>
        <w:t xml:space="preserve">), credit card balance (</w:t>
      </w:r>
      <w:r>
        <w:rPr>
          <w:rStyle w:val="VerbatimChar"/>
        </w:rPr>
        <w:t xml:space="preserve">asinh_ccbal</w:t>
      </w:r>
      <w:r>
        <w:t xml:space="preserve">),</w:t>
      </w:r>
      <w:r>
        <w:t xml:space="preserve"> </w:t>
      </w:r>
      <w:r>
        <w:t xml:space="preserve">debt-to-income ratio (</w:t>
      </w:r>
      <w:r>
        <w:rPr>
          <w:rStyle w:val="VerbatimChar"/>
        </w:rPr>
        <w:t xml:space="preserve">asinh_dti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Credit access:</w:t>
      </w:r>
      <w:r>
        <w:t xml:space="preserve"> </w:t>
      </w:r>
      <w:r>
        <w:t xml:space="preserve">a binary indicator for having been turned down for credit in the past</w:t>
      </w:r>
      <w:r>
        <w:t xml:space="preserve"> </w:t>
      </w:r>
      <w:r>
        <w:t xml:space="preserve">five years (</w:t>
      </w:r>
      <w:r>
        <w:rPr>
          <w:rStyle w:val="VerbatimChar"/>
        </w:rPr>
        <w:t xml:space="preserve">turned_down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Income:</w:t>
      </w:r>
      <w:r>
        <w:t xml:space="preserve"> </w:t>
      </w:r>
      <w:r>
        <w:t xml:space="preserve">total household income (</w:t>
      </w:r>
      <w:r>
        <w:rPr>
          <w:rStyle w:val="VerbatimChar"/>
        </w:rPr>
        <w:t xml:space="preserve">asinh_income</w:t>
      </w:r>
      <w:r>
        <w:t xml:space="preserve">), wage income (</w:t>
      </w:r>
      <w:r>
        <w:rPr>
          <w:rStyle w:val="VerbatimChar"/>
        </w:rPr>
        <w:t xml:space="preserve">asinh_wageinc</w:t>
      </w:r>
      <w:r>
        <w:t xml:space="preserve">), net</w:t>
      </w:r>
      <w:r>
        <w:t xml:space="preserve"> </w:t>
      </w:r>
      <w:r>
        <w:t xml:space="preserve">worth (</w:t>
      </w:r>
      <w:r>
        <w:rPr>
          <w:rStyle w:val="VerbatimChar"/>
        </w:rPr>
        <w:t xml:space="preserve">asinh_networth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Demographic controls:</w:t>
      </w:r>
      <w:r>
        <w:t xml:space="preserve"> </w:t>
      </w:r>
      <w:r>
        <w:t xml:space="preserve">age and age-squared (to capture nonlinear lifecycle effects),</w:t>
      </w:r>
      <w:r>
        <w:t xml:space="preserve"> </w:t>
      </w:r>
      <w:r>
        <w:t xml:space="preserve">marital status, college degree, race/ethnicity, gender of reference person, employment</w:t>
      </w:r>
      <w:r>
        <w:t xml:space="preserve"> </w:t>
      </w:r>
      <w:r>
        <w:t xml:space="preserve">status, homeownership, and pension access.</w:t>
      </w:r>
    </w:p>
    <w:p>
      <w:pPr>
        <w:pStyle w:val="BodyText"/>
      </w:pPr>
      <w:r>
        <w:rPr>
          <w:b/>
          <w:bCs/>
        </w:rPr>
        <w:t xml:space="preserve">A note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female</w:t>
      </w:r>
      <w:r>
        <w:rPr>
          <w:b/>
          <w:bCs/>
        </w:rPr>
        <w:t xml:space="preserve"> </w:t>
      </w:r>
      <w:r>
        <w:rPr>
          <w:b/>
          <w:bCs/>
        </w:rPr>
        <w:t xml:space="preserve">variable.</w:t>
      </w:r>
      <w:r>
        <w:t xml:space="preserve"> </w:t>
      </w:r>
      <w:r>
        <w:t xml:space="preserve">In the SCF, the reference person in a mixed-sex</w:t>
      </w:r>
      <w:r>
        <w:t xml:space="preserve"> </w:t>
      </w:r>
      <w:r>
        <w:t xml:space="preserve">couple is coded as the male. A female reference person therefore typically indicates a</w:t>
      </w:r>
      <w:r>
        <w:t xml:space="preserve"> </w:t>
      </w:r>
      <w:r>
        <w:t xml:space="preserve">single woman (often a single mother) or a woman in a same-sex couple. This variable</w:t>
      </w:r>
      <w:r>
        <w:t xml:space="preserve"> </w:t>
      </w:r>
      <w:r>
        <w:t xml:space="preserve">functions as a control for household structure, not a direct measure of gender differences</w:t>
      </w:r>
      <w:r>
        <w:t xml:space="preserve"> </w:t>
      </w:r>
      <w:r>
        <w:t xml:space="preserve">in fertility.</w:t>
      </w:r>
    </w:p>
    <w:p>
      <w:pPr>
        <w:pStyle w:val="BodyText"/>
      </w:pPr>
      <w:r>
        <w:rPr>
          <w:b/>
          <w:bCs/>
        </w:rPr>
        <w:t xml:space="preserve">A note on the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race category.</w:t>
      </w:r>
      <w:r>
        <w:t xml:space="preserve"> </w:t>
      </w:r>
      <w:r>
        <w:t xml:space="preserve">The SCF public dataset aggregates Asian, Pacific</w:t>
      </w:r>
      <w:r>
        <w:t xml:space="preserve"> </w:t>
      </w:r>
      <w:r>
        <w:t xml:space="preserve">Islander, American Indian/Alaska Native, and multiracial respondents into a single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category. Published research indicates this group is predominantly Asian/Pacific</w:t>
      </w:r>
      <w:r>
        <w:t xml:space="preserve"> </w:t>
      </w:r>
      <w:r>
        <w:t xml:space="preserve">Islander (Hanna &amp; Lindamood, 2008), but the internal heterogeneity is substantial. We</w:t>
      </w:r>
      <w:r>
        <w:t xml:space="preserve"> </w:t>
      </w:r>
      <w:r>
        <w:t xml:space="preserve">retain this category in the model for completeness but urge caution in interpreting its</w:t>
      </w:r>
      <w:r>
        <w:t xml:space="preserve"> </w:t>
      </w:r>
      <w:r>
        <w:t xml:space="preserve">coefficient. The opposing fertility patterns of U.S.-born Asian women (high</w:t>
      </w:r>
      <w:r>
        <w:t xml:space="preserve"> </w:t>
      </w:r>
      <w:r>
        <w:t xml:space="preserve">childlessness) and first-generation Asian immigrants (lower childlessness) may produce</w:t>
      </w:r>
      <w:r>
        <w:t xml:space="preserve"> </w:t>
      </w:r>
      <w:r>
        <w:t xml:space="preserve">attenuated or null aggregate effects that mask meaningful within-group variation (Cai &amp;</w:t>
      </w:r>
      <w:r>
        <w:t xml:space="preserve"> </w:t>
      </w:r>
      <w:r>
        <w:t xml:space="preserve">Morgan, 2019).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descriptive-results"/>
    <w:p>
      <w:pPr>
        <w:pStyle w:val="Heading1"/>
      </w:pPr>
      <w:r>
        <w:t xml:space="preserve">Descriptive Results</w:t>
      </w:r>
    </w:p>
    <w:p>
      <w:pPr>
        <w:pStyle w:val="FirstParagraph"/>
      </w:pPr>
      <w:r>
        <w:t xml:space="preserve">The analysis sample comprises approximately 997 households per implicate.</w:t>
      </w:r>
      <w:r>
        <w:t xml:space="preserve"> </w:t>
      </w:r>
      <w:r>
        <w:t xml:space="preserve">Among these, 34.3% report no co-resident children. This rate is broadly consistent with</w:t>
      </w:r>
      <w:r>
        <w:t xml:space="preserve"> </w:t>
      </w:r>
      <w:r>
        <w:t xml:space="preserve">Census Bureau estimates of childlessness for women in this age range (Guzzo &amp; Loo, 2023),</w:t>
      </w:r>
      <w:r>
        <w:t xml:space="preserve"> </w:t>
      </w:r>
      <w:r>
        <w:t xml:space="preserve">though it likely overstates biological childlessness due to the non-custodial parent</w:t>
      </w:r>
      <w:r>
        <w:t xml:space="preserve"> </w:t>
      </w:r>
      <w:r>
        <w:t xml:space="preserve">misclassification discussed above.</w:t>
      </w:r>
    </w:p>
    <w:bookmarkStart w:id="16" w:name="X2e4b64c3ad49b92cce8ccc3735cfb48215415ed"/>
    <w:p>
      <w:pPr>
        <w:pStyle w:val="Heading2"/>
      </w:pPr>
      <w:r>
        <w:t xml:space="preserve">Co-Resident Childlessness by Demographics</w:t>
      </w:r>
    </w:p>
    <w:p>
      <w:pPr>
        <w:pStyle w:val="SourceCode"/>
      </w:pPr>
      <w:r>
        <w:rPr>
          <w:rStyle w:val="VerbatimChar"/>
        </w:rPr>
        <w:t xml:space="preserve">## ===== By Race/Ethnicity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        variable  estimate         se       min       max</w:t>
      </w:r>
      <w:r>
        <w:br/>
      </w:r>
      <w:r>
        <w:rPr>
          <w:rStyle w:val="VerbatimChar"/>
        </w:rPr>
        <w:t xml:space="preserve">##     White childless_prime 0.3498980 0.02143662 0.3477192 0.3519751</w:t>
      </w:r>
      <w:r>
        <w:br/>
      </w:r>
      <w:r>
        <w:rPr>
          <w:rStyle w:val="VerbatimChar"/>
        </w:rPr>
        <w:t xml:space="preserve">##     Black childless_prime 0.3509283 0.03669985 0.3455146 0.3541340</w:t>
      </w:r>
      <w:r>
        <w:br/>
      </w:r>
      <w:r>
        <w:rPr>
          <w:rStyle w:val="VerbatimChar"/>
        </w:rPr>
        <w:t xml:space="preserve">##  Hispanic childless_prime 0.2633391 0.03721848 0.2511439 0.2679693</w:t>
      </w:r>
      <w:r>
        <w:br/>
      </w:r>
      <w:r>
        <w:rPr>
          <w:rStyle w:val="VerbatimChar"/>
        </w:rPr>
        <w:t xml:space="preserve">##     Other childless_prime 0.4284635 0.03284988 0.4252267 0.4323729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Education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group        variable  estimate         se       min       max</w:t>
      </w:r>
      <w:r>
        <w:br/>
      </w:r>
      <w:r>
        <w:rPr>
          <w:rStyle w:val="VerbatimChar"/>
        </w:rPr>
        <w:t xml:space="preserve">##    Less than HS childless_prime 0.2984361 0.03573656 0.2955478 0.3018473</w:t>
      </w:r>
      <w:r>
        <w:br/>
      </w:r>
      <w:r>
        <w:rPr>
          <w:rStyle w:val="VerbatimChar"/>
        </w:rPr>
        <w:t xml:space="preserve">##     High School childless_prime 0.2741024 0.02888710 0.2714987 0.2771035</w:t>
      </w:r>
      <w:r>
        <w:br/>
      </w:r>
      <w:r>
        <w:rPr>
          <w:rStyle w:val="VerbatimChar"/>
        </w:rPr>
        <w:t xml:space="preserve">##    Some College childless_prime 0.3412888 0.02544686 0.3394422 0.3423503</w:t>
      </w:r>
      <w:r>
        <w:br/>
      </w:r>
      <w:r>
        <w:rPr>
          <w:rStyle w:val="VerbatimChar"/>
        </w:rPr>
        <w:t xml:space="preserve">##  College Degree childless_prime 0.4075647 0.02296607 0.4044715 0.4120224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Marital Status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0.5665886 0.02288293 0.5644611 0.5681891</w:t>
      </w:r>
      <w:r>
        <w:br/>
      </w:r>
      <w:r>
        <w:rPr>
          <w:rStyle w:val="VerbatimChar"/>
        </w:rPr>
        <w:t xml:space="preserve">##      1 childless_prime 0.2374279 0.01672318 0.2362023 0.2391776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By Credit Denial Experience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group        variable  estimate         se       min       max</w:t>
      </w:r>
      <w:r>
        <w:br/>
      </w:r>
      <w:r>
        <w:rPr>
          <w:rStyle w:val="VerbatimChar"/>
        </w:rPr>
        <w:t xml:space="preserve">##      0 childless_prime 0.3377808 0.01454740 0.3357907 0.3394162</w:t>
      </w:r>
      <w:r>
        <w:br/>
      </w:r>
      <w:r>
        <w:rPr>
          <w:rStyle w:val="VerbatimChar"/>
        </w:rPr>
        <w:t xml:space="preserve">##      1 childless_prime 0.4442268 0.04480882 0.4428682 0.4455963</w:t>
      </w:r>
    </w:p>
    <w:bookmarkEnd w:id="16"/>
    <w:bookmarkStart w:id="23" w:name="visualizations"/>
    <w:p>
      <w:pPr>
        <w:pStyle w:val="Heading2"/>
      </w:pPr>
      <w:r>
        <w:t xml:space="preserve">Visualizations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f_childlessness_v4_files/figure-docx/viz-race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f_childlessness_v4_files/figure-docx/viz-education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regression-results"/>
    <w:p>
      <w:pPr>
        <w:pStyle w:val="Heading1"/>
      </w:pPr>
      <w:r>
        <w:t xml:space="preserve">Regression Results</w:t>
      </w:r>
    </w:p>
    <w:p>
      <w:pPr>
        <w:pStyle w:val="TableCaption"/>
      </w:pPr>
      <w:r>
        <w:t xml:space="preserve">Table 1. Logistic Regression: P(Co-Resident Childless, Ages 31-44)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Logistic Regression: P(Co-Resident Childless, Ages 31-44)"/>
      </w:tblPr>
      <w:tblGrid>
        <w:gridCol w:w="1489"/>
        <w:gridCol w:w="1489"/>
        <w:gridCol w:w="705"/>
        <w:gridCol w:w="548"/>
        <w:gridCol w:w="1019"/>
        <w:gridCol w:w="627"/>
        <w:gridCol w:w="1019"/>
        <w:gridCol w:w="705"/>
        <w:gridCol w:w="31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Log-Odds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Odds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 97.5%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3.305925e+07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1.341458e+13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asinh_retqliq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asinh_liq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1.032800e+00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asinh_stocks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1.003400e+00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asinh_nmmf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1.038600e+00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asinh_homeeq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9.612000e-01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asinh_vehic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9.571000e-01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9.974000e-01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asinh_install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asinh_edn_inst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asinh_debt_excl_cc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asinh_ccbal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9.869000e-01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3.89e-01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asinh_dti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1.475500e+00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1.116200e+00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asinh_wageinc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9.943000e-01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asinh_networth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6.26e-01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turned_down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2.005500e+00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3.235700e+00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8.238000e-01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age_sq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1.011300e+00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3.861000e-01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currently_married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9.540000e-02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college_degree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2.071100e+00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6.324000e-01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1.112100e+00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race_catOther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1.240700e+00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3.04e-01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is_working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2.948600e+00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5.918200e+00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is_homeowner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6.860000e-01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3.343900e+00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6.41e-01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has_pension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1.048000e+00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8.45e-02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Model fit (Implicate 1):</w:t>
      </w:r>
      <w:r>
        <w:t xml:space="preserve"> </w:t>
      </w:r>
      <w:r>
        <w:t xml:space="preserve">McFadden pseudo-R² = 0.1889; N = 997;</w:t>
      </w:r>
      <w:r>
        <w:t xml:space="preserve"> </w:t>
      </w:r>
      <w:r>
        <w:t xml:space="preserve">Predictors = 24</w:t>
      </w:r>
    </w:p>
    <w:bookmarkStart w:id="28" w:name="coefficient-visualization"/>
    <w:p>
      <w:pPr>
        <w:pStyle w:val="Heading2"/>
      </w:pPr>
      <w:r>
        <w:t xml:space="preserve">Coefficient Visualization</w:t>
      </w:r>
    </w:p>
    <w:p>
      <w:pPr>
        <w:pStyle w:val="FirstParagraph"/>
      </w:pPr>
      <w:r>
        <w:drawing>
          <wp:inline>
            <wp:extent cx="5334000" cy="436418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scf_childlessness_v4_files/figure-docx/coef-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interpretation"/>
    <w:p>
      <w:pPr>
        <w:pStyle w:val="Heading1"/>
      </w:pPr>
      <w:r>
        <w:t xml:space="preserve">Interpretation</w:t>
      </w:r>
    </w:p>
    <w:bookmarkStart w:id="34" w:name="the-balance-sheet-findings"/>
    <w:p>
      <w:pPr>
        <w:pStyle w:val="Heading2"/>
      </w:pPr>
      <w:r>
        <w:t xml:space="preserve">The Balance Sheet Findings</w:t>
      </w:r>
    </w:p>
    <w:bookmarkStart w:id="30" w:name="X6f872f643631de8d843c3f7fcfeda53c4ebebaf"/>
    <w:p>
      <w:pPr>
        <w:pStyle w:val="Heading3"/>
      </w:pPr>
      <w:r>
        <w:t xml:space="preserve">Retirement Assets and the Opportunity Cost of Children</w:t>
      </w:r>
    </w:p>
    <w:p>
      <w:pPr>
        <w:pStyle w:val="FirstParagraph"/>
      </w:pPr>
      <w:r>
        <w:t xml:space="preserve">The value of retirement and quasi-liquid assets (</w:t>
      </w:r>
      <w:r>
        <w:rPr>
          <w:rStyle w:val="VerbatimChar"/>
        </w:rPr>
        <w:t xml:space="preserve">asinh_retqliq</w:t>
      </w:r>
      <w:r>
        <w:t xml:space="preserve">) is the</w:t>
      </w:r>
      <w:r>
        <w:t xml:space="preserve"> </w:t>
      </w:r>
      <w:r>
        <w:t xml:space="preserve">strongest financial predictor of childlessness: OR = 1.05 (p = 1.26e-02). Households with</w:t>
      </w:r>
      <w:r>
        <w:t xml:space="preserve"> </w:t>
      </w:r>
      <w:r>
        <w:t xml:space="preserve">larger retirement savings are significantly more likely to be childless during the prime</w:t>
      </w:r>
      <w:r>
        <w:t xml:space="preserve"> </w:t>
      </w:r>
      <w:r>
        <w:t xml:space="preserve">family formation years.</w:t>
      </w:r>
    </w:p>
    <w:p>
      <w:pPr>
        <w:pStyle w:val="BodyText"/>
      </w:pPr>
      <w:r>
        <w:t xml:space="preserve">This finding lends clear support to an opportunity cost framework. Retirement</w:t>
      </w:r>
      <w:r>
        <w:t xml:space="preserve"> </w:t>
      </w:r>
      <w:r>
        <w:t xml:space="preserve">account accumulation reflects sustained career investment, long time horizons, and a</w:t>
      </w:r>
      <w:r>
        <w:t xml:space="preserve"> </w:t>
      </w:r>
      <w:r>
        <w:t xml:space="preserve">financial planning orientation that may coincide with — or come at the expense of —</w:t>
      </w:r>
      <w:r>
        <w:t xml:space="preserve"> </w:t>
      </w:r>
      <w:r>
        <w:t xml:space="preserve">family formation. The cost of raising a child through age 18 is estimated at $237,000</w:t>
      </w:r>
      <w:r>
        <w:t xml:space="preserve"> </w:t>
      </w:r>
      <w:r>
        <w:t xml:space="preserve">to $310,000 in 2022 dollars (Lino et al., 2020), and the career interruptions associated</w:t>
      </w:r>
      <w:r>
        <w:t xml:space="preserve"> </w:t>
      </w:r>
      <w:r>
        <w:t xml:space="preserve">with parenthood (particularly for women) reduce lifetime earnings and retirement savings.</w:t>
      </w:r>
      <w:r>
        <w:t xml:space="preserve"> </w:t>
      </w:r>
      <w:r>
        <w:t xml:space="preserve">Households that have prioritized or been able to accumulate more retirement wealth are,</w:t>
      </w:r>
      <w:r>
        <w:t xml:space="preserve"> </w:t>
      </w:r>
      <w:r>
        <w:t xml:space="preserve">on this evidence, less likely to have children present — suggesting a genuine trade-off</w:t>
      </w:r>
      <w:r>
        <w:t xml:space="preserve"> </w:t>
      </w:r>
      <w:r>
        <w:t xml:space="preserve">between investing in financial assets for the future and bearing the immense cost of</w:t>
      </w:r>
      <w:r>
        <w:t xml:space="preserve"> </w:t>
      </w:r>
      <w:r>
        <w:t xml:space="preserve">raising children in the present.</w:t>
      </w:r>
    </w:p>
    <w:p>
      <w:pPr>
        <w:pStyle w:val="BodyText"/>
      </w:pPr>
      <w:r>
        <w:t xml:space="preserve">Importantly, this is not a simple income effect. As we show below, aggregate income</w:t>
      </w:r>
      <w:r>
        <w:t xml:space="preserve"> </w:t>
      </w:r>
      <w:r>
        <w:t xml:space="preserve">and net worth are not significant predictors of childlessness. The specificity of the</w:t>
      </w:r>
      <w:r>
        <w:t xml:space="preserve"> </w:t>
      </w:r>
      <w:r>
        <w:t xml:space="preserve">retirement asset finding — that it is the</w:t>
      </w:r>
      <w:r>
        <w:t xml:space="preserve"> </w:t>
      </w:r>
      <w:r>
        <w:rPr>
          <w:i/>
          <w:iCs/>
        </w:rPr>
        <w:t xml:space="preserve">composition</w:t>
      </w:r>
      <w:r>
        <w:t xml:space="preserve"> </w:t>
      </w:r>
      <w:r>
        <w:t xml:space="preserve">of wealth, not its level, that</w:t>
      </w:r>
      <w:r>
        <w:t xml:space="preserve"> </w:t>
      </w:r>
      <w:r>
        <w:t xml:space="preserve">matters — is the core contribution of this analysis.</w:t>
      </w:r>
    </w:p>
    <w:bookmarkEnd w:id="30"/>
    <w:bookmarkStart w:id="31" w:name="Xd6d0889ec3bac4f939b2596f2a4a5035ed43871"/>
    <w:p>
      <w:pPr>
        <w:pStyle w:val="Heading3"/>
      </w:pPr>
      <w:r>
        <w:t xml:space="preserve">Credit Constraints and Financial Exclusion</w:t>
      </w:r>
    </w:p>
    <w:p>
      <w:pPr>
        <w:pStyle w:val="FirstParagraph"/>
      </w:pPr>
      <w:r>
        <w:t xml:space="preserve">Having been turned down for credit in the past five years (</w:t>
      </w:r>
      <w:r>
        <w:rPr>
          <w:rStyle w:val="VerbatimChar"/>
        </w:rPr>
        <w:t xml:space="preserve">turned_down</w:t>
      </w:r>
      <w:r>
        <w:t xml:space="preserve">)</w:t>
      </w:r>
      <w:r>
        <w:t xml:space="preserve"> </w:t>
      </w:r>
      <w:r>
        <w:t xml:space="preserve">is significantly associated with childlessness: OR = 2.01 (p = 4.35e-03). Households that</w:t>
      </w:r>
      <w:r>
        <w:t xml:space="preserve"> </w:t>
      </w:r>
      <w:r>
        <w:t xml:space="preserve">have experienced credit denial are approximately 101% more likely to be childless.</w:t>
      </w:r>
    </w:p>
    <w:p>
      <w:pPr>
        <w:pStyle w:val="BodyText"/>
      </w:pPr>
      <w:r>
        <w:t xml:space="preserve">The interpretation of this coefficient requires care regarding causal direction.</w:t>
      </w:r>
      <w:r>
        <w:t xml:space="preserve"> </w:t>
      </w:r>
      <w:r>
        <w:t xml:space="preserve">Two plausible mechanisms are consistent with this association:</w:t>
      </w:r>
    </w:p>
    <w:p>
      <w:pPr>
        <w:pStyle w:val="BodyText"/>
      </w:pPr>
      <w:r>
        <w:rPr>
          <w:i/>
          <w:iCs/>
        </w:rPr>
        <w:t xml:space="preserve">Financial exclusion as a barrier to family formation.</w:t>
      </w:r>
      <w:r>
        <w:t xml:space="preserve"> </w:t>
      </w:r>
      <w:r>
        <w:t xml:space="preserve">Credit-constrained</w:t>
      </w:r>
      <w:r>
        <w:t xml:space="preserve"> </w:t>
      </w:r>
      <w:r>
        <w:t xml:space="preserve">households may face material barriers to the consumption demands of parenthood — housing,</w:t>
      </w:r>
      <w:r>
        <w:t xml:space="preserve"> </w:t>
      </w:r>
      <w:r>
        <w:t xml:space="preserve">vehicles, childcare — that require access to credit. If these households cannot borrow</w:t>
      </w:r>
      <w:r>
        <w:t xml:space="preserve"> </w:t>
      </w:r>
      <w:r>
        <w:t xml:space="preserve">to smooth the lumpy expenses associated with having a child, they may delay or forgo</w:t>
      </w:r>
      <w:r>
        <w:t xml:space="preserve"> </w:t>
      </w:r>
      <w:r>
        <w:t xml:space="preserve">parenthood. On this reading, credit denial signals a broader financial precarity that</w:t>
      </w:r>
      <w:r>
        <w:t xml:space="preserve"> </w:t>
      </w:r>
      <w:r>
        <w:t xml:space="preserve">deters family formation.</w:t>
      </w:r>
    </w:p>
    <w:p>
      <w:pPr>
        <w:pStyle w:val="BodyText"/>
      </w:pPr>
      <w:r>
        <w:rPr>
          <w:i/>
          <w:iCs/>
        </w:rPr>
        <w:t xml:space="preserve">Parenthood as a strain on creditworthiness.</w:t>
      </w:r>
      <w:r>
        <w:t xml:space="preserve"> </w:t>
      </w:r>
      <w:r>
        <w:t xml:space="preserve">Alternatively, the presence of</w:t>
      </w:r>
      <w:r>
        <w:t xml:space="preserve"> </w:t>
      </w:r>
      <w:r>
        <w:t xml:space="preserve">children strains a household’s liquidity and makes it more vulnerable to financial shocks,</w:t>
      </w:r>
      <w:r>
        <w:t xml:space="preserve"> </w:t>
      </w:r>
      <w:r>
        <w:t xml:space="preserve">which may damage creditworthiness and lead to credit denial. On this reading, parents are</w:t>
      </w:r>
      <w:r>
        <w:t xml:space="preserve"> </w:t>
      </w:r>
      <w:r>
        <w:t xml:space="preserve">more likely to have been turned down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child-related expenses exhausted their</w:t>
      </w:r>
      <w:r>
        <w:t xml:space="preserve"> </w:t>
      </w:r>
      <w:r>
        <w:t xml:space="preserve">financial buffer.</w:t>
      </w:r>
    </w:p>
    <w:p>
      <w:pPr>
        <w:pStyle w:val="BodyText"/>
      </w:pPr>
      <w:r>
        <w:t xml:space="preserve">The cross-sectional design of the SCF cannot distinguish between these mechanisms.</w:t>
      </w:r>
      <w:r>
        <w:t xml:space="preserve"> </w:t>
      </w:r>
      <w:r>
        <w:t xml:space="preserve">However, this finding bridges directly to the companion analysis of credit card debt,</w:t>
      </w:r>
      <w:r>
        <w:t xml:space="preserve"> </w:t>
      </w:r>
      <w:r>
        <w:t xml:space="preserve">where credit denial was the strongest predictor of carrying revolving balances (OR ≈ 1.97).</w:t>
      </w:r>
      <w:r>
        <w:t xml:space="preserve"> </w:t>
      </w:r>
      <w:r>
        <w:t xml:space="preserve">Credit access thus emerges as a common upstream factor linking both childlessness and</w:t>
      </w:r>
      <w:r>
        <w:t xml:space="preserve"> </w:t>
      </w:r>
      <w:r>
        <w:t xml:space="preserve">credit card indebtedness — marking a population experiencing financial precarity across</w:t>
      </w:r>
      <w:r>
        <w:t xml:space="preserve"> </w:t>
      </w:r>
      <w:r>
        <w:t xml:space="preserve">multiple life domains.</w:t>
      </w:r>
    </w:p>
    <w:bookmarkEnd w:id="31"/>
    <w:bookmarkStart w:id="32" w:name="income-wealth-and-the-null-finding"/>
    <w:p>
      <w:pPr>
        <w:pStyle w:val="Heading3"/>
      </w:pPr>
      <w:r>
        <w:t xml:space="preserve">Income, Wealth, and the Null Finding</w:t>
      </w:r>
    </w:p>
    <w:p>
      <w:pPr>
        <w:pStyle w:val="FirstParagraph"/>
      </w:pPr>
      <w:r>
        <w:t xml:space="preserve">Total household income (OR = 1.12, p = 3.48e-01) and net worth (OR = 1.01,</w:t>
      </w:r>
      <w:r>
        <w:t xml:space="preserve"> </w:t>
      </w:r>
      <w:r>
        <w:t xml:space="preserve">p = 6.26e-01) are not significant predictors of childlessness after controlling for the</w:t>
      </w:r>
      <w:r>
        <w:t xml:space="preserve"> </w:t>
      </w:r>
      <w:r>
        <w:t xml:space="preserve">composition of the balance sheet. This null finding is itself a substantive result. It indicates that the economic</w:t>
      </w:r>
      <w:r>
        <w:t xml:space="preserve"> </w:t>
      </w:r>
      <w:r>
        <w:t xml:space="preserve">context of childlessness is not about how much a household has in aggregate, but about</w:t>
      </w:r>
      <w:r>
        <w:t xml:space="preserve"> </w:t>
      </w:r>
      <w:r>
        <w:t xml:space="preserve">how that wealth is allocated and whether the household faces credit constraints. A</w:t>
      </w:r>
      <w:r>
        <w:t xml:space="preserve"> </w:t>
      </w:r>
      <w:r>
        <w:t xml:space="preserve">high-income household that has channeled resources into retirement accounts and a</w:t>
      </w:r>
      <w:r>
        <w:t xml:space="preserve"> </w:t>
      </w:r>
      <w:r>
        <w:t xml:space="preserve">low-income household that has been denied credit occupy opposite ends of the financial</w:t>
      </w:r>
      <w:r>
        <w:t xml:space="preserve"> </w:t>
      </w:r>
      <w:r>
        <w:t xml:space="preserve">spectrum, yet both are more likely to be childless than their demographic peers.</w:t>
      </w:r>
    </w:p>
    <w:p>
      <w:pPr>
        <w:pStyle w:val="BodyText"/>
      </w:pPr>
      <w:r>
        <w:t xml:space="preserve">Wage income (</w:t>
      </w:r>
      <w:r>
        <w:rPr>
          <w:rStyle w:val="VerbatimChar"/>
        </w:rPr>
        <w:t xml:space="preserve">asinh_wageinc</w:t>
      </w:r>
      <w:r>
        <w:t xml:space="preserve">) is the one income-adjacent variable that</w:t>
      </w:r>
      <w:r>
        <w:t xml:space="preserve"> </w:t>
      </w:r>
      <w:r>
        <w:t xml:space="preserve">reaches significance (OR = 0.95, p = 2.80e-02), with higher wages associated with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childlessness. This may reflect financial stability enabling family formation, or it may</w:t>
      </w:r>
      <w:r>
        <w:t xml:space="preserve"> </w:t>
      </w:r>
      <w:r>
        <w:t xml:space="preserve">capture the mechanical relationship between non-employment and parenthood (discussed</w:t>
      </w:r>
      <w:r>
        <w:t xml:space="preserve"> </w:t>
      </w:r>
      <w:r>
        <w:t xml:space="preserve">below under structural controls). The distinction between wage income (significant) and</w:t>
      </w:r>
      <w:r>
        <w:t xml:space="preserve"> </w:t>
      </w:r>
      <w:r>
        <w:t xml:space="preserve">total income (non-significant) suggests that it is earned income from active labor force</w:t>
      </w:r>
      <w:r>
        <w:t xml:space="preserve"> </w:t>
      </w:r>
      <w:r>
        <w:t xml:space="preserve">participation, not investment returns or transfers, that correlates with having children</w:t>
      </w:r>
      <w:r>
        <w:t xml:space="preserve"> </w:t>
      </w:r>
      <w:r>
        <w:t xml:space="preserve">present.</w:t>
      </w:r>
    </w:p>
    <w:bookmarkEnd w:id="32"/>
    <w:bookmarkStart w:id="33" w:name="X16a7331f99e76bbb4dd6bbec30fdb04a2fea0e0"/>
    <w:p>
      <w:pPr>
        <w:pStyle w:val="Heading3"/>
      </w:pPr>
      <w:r>
        <w:t xml:space="preserve">Credit Card Balances: The Link to the Companion Analysis</w:t>
      </w:r>
    </w:p>
    <w:p>
      <w:pPr>
        <w:pStyle w:val="FirstParagraph"/>
      </w:pPr>
      <w:r>
        <w:t xml:space="preserve">Credit card balance (</w:t>
      </w:r>
      <w:r>
        <w:rPr>
          <w:rStyle w:val="VerbatimChar"/>
        </w:rPr>
        <w:t xml:space="preserve">asinh_ccbal</w:t>
      </w:r>
      <w:r>
        <w:t xml:space="preserve">): OR = 0.99 (p = 3.89e-01). Credit card balances do not independently predict childlessness after other</w:t>
      </w:r>
      <w:r>
        <w:t xml:space="preserve"> </w:t>
      </w:r>
      <w:r>
        <w:t xml:space="preserve">financial variables are controlled. The companion analysis showed that the transition</w:t>
      </w:r>
      <w:r>
        <w:t xml:space="preserve"> </w:t>
      </w:r>
      <w:r>
        <w:t xml:space="preserve">to parenthood is the strongest demographic predictor of carrying credit card debt</w:t>
      </w:r>
      <w:r>
        <w:t xml:space="preserve"> </w:t>
      </w:r>
      <w:r>
        <w:t xml:space="preserve">(OR ≈ 1.54). The present analysis confirms the reverse direction: credit card debt does</w:t>
      </w:r>
      <w:r>
        <w:t xml:space="preserve"> </w:t>
      </w:r>
      <w:r>
        <w:t xml:space="preserve">not appear to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childlessness — rather, parenthood drives credit card use. Once</w:t>
      </w:r>
      <w:r>
        <w:t xml:space="preserve"> </w:t>
      </w:r>
      <w:r>
        <w:t xml:space="preserve">we control for the broader financial structure of the household, the credit card</w:t>
      </w:r>
      <w:r>
        <w:t xml:space="preserve"> </w:t>
      </w:r>
      <w:r>
        <w:t xml:space="preserve">balance carries no additional predictive power for childlessness.</w:t>
      </w:r>
    </w:p>
    <w:bookmarkEnd w:id="33"/>
    <w:bookmarkEnd w:id="34"/>
    <w:bookmarkStart w:id="37" w:name="demographic-controls"/>
    <w:p>
      <w:pPr>
        <w:pStyle w:val="Heading2"/>
      </w:pPr>
      <w:r>
        <w:t xml:space="preserve">Demographic Controls</w:t>
      </w:r>
    </w:p>
    <w:bookmarkStart w:id="35" w:name="expected-demographic-patterns"/>
    <w:p>
      <w:pPr>
        <w:pStyle w:val="Heading3"/>
      </w:pPr>
      <w:r>
        <w:t xml:space="preserve">Expected Demographic Patterns</w:t>
      </w:r>
    </w:p>
    <w:p>
      <w:pPr>
        <w:pStyle w:val="FirstParagraph"/>
      </w:pPr>
      <w:r>
        <w:rPr>
          <w:b/>
          <w:bCs/>
        </w:rPr>
        <w:t xml:space="preserve">Marriage</w:t>
      </w:r>
      <w:r>
        <w:t xml:space="preserve"> </w:t>
      </w:r>
      <w:r>
        <w:t xml:space="preserve">is overwhelmingly the strongest predictor: OR = 0.10</w:t>
      </w:r>
      <w:r>
        <w:t xml:space="preserve"> </w:t>
      </w:r>
      <w:r>
        <w:t xml:space="preserve">(p = 6.47e-15). Unmarried adults aged 31–44 have dramatically higher odds of co-resident</w:t>
      </w:r>
      <w:r>
        <w:t xml:space="preserve"> </w:t>
      </w:r>
      <w:r>
        <w:t xml:space="preserve">childlessness. Marriage remains the primary institutional context for childbearing in</w:t>
      </w:r>
      <w:r>
        <w:t xml:space="preserve"> </w:t>
      </w:r>
      <w:r>
        <w:t xml:space="preserve">the United States, and this coefficient captures the combined effect of partnership</w:t>
      </w:r>
      <w:r>
        <w:t xml:space="preserve"> </w:t>
      </w:r>
      <w:r>
        <w:t xml:space="preserve">stability, shared financial resources, and normative expectations (Pew Research Center,</w:t>
      </w:r>
      <w:r>
        <w:t xml:space="preserve"> </w:t>
      </w:r>
      <w:r>
        <w:t xml:space="preserve">2015; Zill, 2025).</w:t>
      </w:r>
    </w:p>
    <w:p>
      <w:pPr>
        <w:pStyle w:val="BodyText"/>
      </w:pPr>
      <w:r>
        <w:rPr>
          <w:b/>
          <w:bCs/>
        </w:rPr>
        <w:t xml:space="preserve">College degree</w:t>
      </w:r>
      <w:r>
        <w:t xml:space="preserve">: OR = 2.07 (p = 8.00e-04). College graduates are significantly more likely to be childless, consistent with</w:t>
      </w:r>
      <w:r>
        <w:t xml:space="preserve"> </w:t>
      </w:r>
      <w:r>
        <w:t xml:space="preserve">extensive demographic research showing that higher education delays and reduces fertility</w:t>
      </w:r>
      <w:r>
        <w:t xml:space="preserve"> </w:t>
      </w:r>
      <w:r>
        <w:t xml:space="preserve">(Livingston, 2015; Guzzo &amp; Loo, 2023). Among women aged 40–44, approximately 19–22%% of</w:t>
      </w:r>
      <w:r>
        <w:t xml:space="preserve"> </w:t>
      </w:r>
      <w:r>
        <w:t xml:space="preserve">degree holders are childless compared to 7%% of those without a high school diploma</w:t>
      </w:r>
      <w:r>
        <w:t xml:space="preserve"> </w:t>
      </w:r>
      <w:r>
        <w:t xml:space="preserve">(Livingston, 2015).</w:t>
      </w:r>
    </w:p>
    <w:bookmarkEnd w:id="35"/>
    <w:bookmarkStart w:id="36" w:name="structural-controls"/>
    <w:p>
      <w:pPr>
        <w:pStyle w:val="Heading3"/>
      </w:pPr>
      <w:r>
        <w:t xml:space="preserve">Structural Controls</w:t>
      </w:r>
    </w:p>
    <w:p>
      <w:pPr>
        <w:pStyle w:val="FirstParagraph"/>
      </w:pPr>
      <w:r>
        <w:rPr>
          <w:b/>
          <w:bCs/>
        </w:rPr>
        <w:t xml:space="preserve">Female reference person</w:t>
      </w:r>
      <w:r>
        <w:t xml:space="preserve"> </w:t>
      </w:r>
      <w:r>
        <w:t xml:space="preserve">(OR = 0.20, p = 1.94e-06) and</w:t>
      </w:r>
      <w:r>
        <w:t xml:space="preserve"> </w:t>
      </w:r>
      <w:r>
        <w:rPr>
          <w:b/>
          <w:bCs/>
        </w:rPr>
        <w:t xml:space="preserve">employment</w:t>
      </w:r>
      <w:r>
        <w:t xml:space="preserve"> </w:t>
      </w:r>
      <w:r>
        <w:t xml:space="preserve">(OR = 2.95, p = 2.35e-03) are both significant but should be interpreted as structural</w:t>
      </w:r>
      <w:r>
        <w:t xml:space="preserve"> </w:t>
      </w:r>
      <w:r>
        <w:t xml:space="preserve">controls rather than substantive predictors of fertility preferences. The female coefficient is driven by the SCF’s reference person coding: female-headed</w:t>
      </w:r>
      <w:r>
        <w:t xml:space="preserve"> </w:t>
      </w:r>
      <w:r>
        <w:t xml:space="preserve">households in this age range are disproportionately single mothers, producing a mechanical</w:t>
      </w:r>
      <w:r>
        <w:t xml:space="preserve"> </w:t>
      </w:r>
      <w:r>
        <w:t xml:space="preserve">negative association with childlessness. The employment coefficient captures the</w:t>
      </w:r>
      <w:r>
        <w:t xml:space="preserve"> </w:t>
      </w:r>
      <w:r>
        <w:t xml:space="preserve">compositional fact that the non-working population aged 31–44 includes stay-at-home</w:t>
      </w:r>
      <w:r>
        <w:t xml:space="preserve"> </w:t>
      </w:r>
      <w:r>
        <w:t xml:space="preserve">parents, who are by definition not childless. These variables are included to control for</w:t>
      </w:r>
      <w:r>
        <w:t xml:space="preserve"> </w:t>
      </w:r>
      <w:r>
        <w:t xml:space="preserve">household structure; they should not be read as evidence of gender or employment effects</w:t>
      </w:r>
      <w:r>
        <w:t xml:space="preserve"> </w:t>
      </w:r>
      <w:r>
        <w:t xml:space="preserve">on fertility decisions.</w:t>
      </w:r>
    </w:p>
    <w:bookmarkEnd w:id="36"/>
    <w:bookmarkEnd w:id="37"/>
    <w:bookmarkStart w:id="38" w:name="racial-and-ethnic-categories"/>
    <w:p>
      <w:pPr>
        <w:pStyle w:val="Heading2"/>
      </w:pPr>
      <w:r>
        <w:t xml:space="preserve">Racial and Ethnic Categories</w:t>
      </w:r>
    </w:p>
    <w:p>
      <w:pPr>
        <w:pStyle w:val="FirstParagraph"/>
      </w:pPr>
      <w:r>
        <w:t xml:space="preserve">With White households as the reference category, the coefficients for racial and</w:t>
      </w:r>
      <w:r>
        <w:t xml:space="preserve"> </w:t>
      </w:r>
      <w:r>
        <w:t xml:space="preserve">ethnic groups are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Black</w:t>
      </w:r>
      <w:r>
        <w:t xml:space="preserve">: OR = 0.63, 95% CI [0.39, 1.03] (p = 6.30e-02)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Hispanic</w:t>
      </w:r>
      <w:r>
        <w:t xml:space="preserve">: OR = 0.67, 95% CI [0.41, 1.11] (p = 1.22e-01)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</w:t>
      </w:r>
      <w:r>
        <w:t xml:space="preserve">: OR = 1.24, 95% CI [0.82, 1.87] (p = 3.04e-01)</w:t>
      </w:r>
    </w:p>
    <w:p>
      <w:pPr>
        <w:pStyle w:val="FirstParagraph"/>
      </w:pPr>
      <w:r>
        <w:t xml:space="preserve">In the fully controlled model, none of the racial coefficients reach conventional</w:t>
      </w:r>
      <w:r>
        <w:t xml:space="preserve"> </w:t>
      </w:r>
      <w:r>
        <w:t xml:space="preserve">statistical significance. Given the moderate sample size relative to the number of</w:t>
      </w:r>
      <w:r>
        <w:t xml:space="preserve"> </w:t>
      </w:r>
      <w:r>
        <w:t xml:space="preserve">predictors (N ≈ %s with %d predictors, yielding approximately %d observations per</w:t>
      </w:r>
      <w:r>
        <w:t xml:space="preserve"> </w:t>
      </w:r>
      <w:r>
        <w:t xml:space="preserve">predictor), this model is likely underpowered to precisely estimate racial differences.</w:t>
      </w:r>
      <w:r>
        <w:t xml:space="preserve"> </w:t>
      </w:r>
      <w:r>
        <w:t xml:space="preserve">The confidence intervals are wide enough to encompass both substantively meaningful</w:t>
      </w:r>
      <w:r>
        <w:t xml:space="preserve"> </w:t>
      </w:r>
      <w:r>
        <w:t xml:space="preserve">effects and true nulls.</w:t>
      </w:r>
    </w:p>
    <w:p>
      <w:pPr>
        <w:pStyle w:val="BodyText"/>
      </w:pPr>
      <w:r>
        <w:t xml:space="preserve">997 24 42</w:t>
      </w:r>
      <w:r>
        <w:rPr>
          <w:b/>
          <w:bCs/>
        </w:rPr>
        <w:t xml:space="preserve">We do not interpret these non-significant coefficients as evidence for or against</w:t>
      </w:r>
      <w:r>
        <w:rPr>
          <w:b/>
          <w:bCs/>
        </w:rPr>
        <w:t xml:space="preserve"> </w:t>
      </w:r>
      <w:r>
        <w:rPr>
          <w:b/>
          <w:bCs/>
        </w:rPr>
        <w:t xml:space="preserve">any specific theory</w:t>
      </w:r>
      <w:r>
        <w:t xml:space="preserve"> </w:t>
      </w:r>
      <w:r>
        <w:t xml:space="preserve">— including theories of immigrant assimilation or cultural</w:t>
      </w:r>
      <w:r>
        <w:t xml:space="preserve"> </w:t>
      </w:r>
      <w:r>
        <w:t xml:space="preserve">differences in fertility norms. The financial and demographic controls in the model</w:t>
      </w:r>
      <w:r>
        <w:t xml:space="preserve"> </w:t>
      </w:r>
      <w:r>
        <w:t xml:space="preserve">account for a substantial portion of the unconditional racial variance in co-resident</w:t>
      </w:r>
      <w:r>
        <w:t xml:space="preserve"> </w:t>
      </w:r>
      <w:r>
        <w:t xml:space="preserve">childlessness, but whether the remaining variance reflects nativity composition,</w:t>
      </w:r>
      <w:r>
        <w:t xml:space="preserve"> </w:t>
      </w:r>
      <w:r>
        <w:t xml:space="preserve">unmeasured cultural factors, differential non-custodial parenthood rates, or simply</w:t>
      </w:r>
      <w:r>
        <w:t xml:space="preserve"> </w:t>
      </w:r>
      <w:r>
        <w:t xml:space="preserve">sampling variability cannot be determined from these data. Unpacking the source of</w:t>
      </w:r>
      <w:r>
        <w:t xml:space="preserve"> </w:t>
      </w:r>
      <w:r>
        <w:t xml:space="preserve">racial and ethnic differences in childlessness requires a dataset with direct measures</w:t>
      </w:r>
      <w:r>
        <w:t xml:space="preserve"> </w:t>
      </w:r>
      <w:r>
        <w:t xml:space="preserve">of nativity and biological fertility history, which the SCF lacks.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‘Other’</w:t>
      </w:r>
      <w:r>
        <w:t xml:space="preserve"> </w:t>
      </w:r>
      <w:r>
        <w:t xml:space="preserve">category merits particular caution (OR = 1.24, p = 3.04e-01).</w:t>
      </w:r>
      <w:r>
        <w:t xml:space="preserve"> </w:t>
      </w:r>
      <w:r>
        <w:t xml:space="preserve">As noted in the Methods section, this group aggregates Asian, Pacific Islander, American</w:t>
      </w:r>
      <w:r>
        <w:t xml:space="preserve"> </w:t>
      </w:r>
      <w:r>
        <w:t xml:space="preserve">Indian/Alaska Native, and multiracial respondents. The internal heterogeneity of this</w:t>
      </w:r>
      <w:r>
        <w:t xml:space="preserve"> </w:t>
      </w:r>
      <w:r>
        <w:t xml:space="preserve">category — particularly the opposing nativity-specific fertility patterns within the</w:t>
      </w:r>
      <w:r>
        <w:t xml:space="preserve"> </w:t>
      </w:r>
      <w:r>
        <w:t xml:space="preserve">Asian subpopulation (Cai &amp; Morgan, 2019) — means that its aggregate coefficient is</w:t>
      </w:r>
      <w:r>
        <w:t xml:space="preserve"> </w:t>
      </w:r>
      <w:r>
        <w:t xml:space="preserve">difficult to interpret substantively. We report it for completeness but do not draw</w:t>
      </w:r>
      <w:r>
        <w:t xml:space="preserve"> </w:t>
      </w:r>
      <w:r>
        <w:t xml:space="preserve">inferences from 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nection-to-the-companion-analysis"/>
    <w:p>
      <w:pPr>
        <w:pStyle w:val="Heading1"/>
      </w:pPr>
      <w:r>
        <w:t xml:space="preserve">Connection to the Companion Analysis</w:t>
      </w:r>
    </w:p>
    <w:p>
      <w:pPr>
        <w:pStyle w:val="FirstParagraph"/>
      </w:pPr>
      <w:r>
        <w:t xml:space="preserve">The primary analysis in this thesis examined credit card indebtedness, finding that the</w:t>
      </w:r>
      <w:r>
        <w:t xml:space="preserve"> </w:t>
      </w:r>
      <w:r>
        <w:t xml:space="preserve">transition to parenthood is the strongest demographic predictor of carrying revolving</w:t>
      </w:r>
      <w:r>
        <w:t xml:space="preserve"> </w:t>
      </w:r>
      <w:r>
        <w:t xml:space="preserve">credit card debt. This companion piece inverts the question and finds complementary</w:t>
      </w:r>
      <w:r>
        <w:t xml:space="preserve"> </w:t>
      </w:r>
      <w:r>
        <w:t xml:space="preserve">results.</w:t>
      </w:r>
    </w:p>
    <w:p>
      <w:pPr>
        <w:pStyle w:val="SourceCode"/>
      </w:pPr>
      <w:r>
        <w:rPr>
          <w:rStyle w:val="VerbatimChar"/>
        </w:rPr>
        <w:t xml:space="preserve">## ===== Credit Card Debt Prevalence: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  variable  estimate         se       min       max</w:t>
      </w:r>
      <w:r>
        <w:br/>
      </w:r>
      <w:r>
        <w:rPr>
          <w:rStyle w:val="VerbatimChar"/>
        </w:rPr>
        <w:t xml:space="preserve">##  Childless has_ccdebt 0.4861771 0.02609897 0.4835075 0.4886038</w:t>
      </w:r>
      <w:r>
        <w:br/>
      </w:r>
      <w:r>
        <w:rPr>
          <w:rStyle w:val="VerbatimChar"/>
        </w:rPr>
        <w:t xml:space="preserve">##     Parent has_ccdebt 0.5553463 0.01941514 0.5528202 0.5585207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Mean Credit Card Balance: Childless vs. Parent (Ages 31-44) =====</w:t>
      </w:r>
    </w:p>
    <w:p>
      <w:pPr>
        <w:pStyle w:val="SourceCode"/>
      </w:pPr>
      <w:r>
        <w:rPr>
          <w:rStyle w:val="VerbatimChar"/>
        </w:rPr>
        <w:t xml:space="preserve">## Multiply-Imputed, Replicate-Weighted Mean Estimate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group variable estimate       se      min      max</w:t>
      </w:r>
      <w:r>
        <w:br/>
      </w:r>
      <w:r>
        <w:rPr>
          <w:rStyle w:val="VerbatimChar"/>
        </w:rPr>
        <w:t xml:space="preserve">##  Childless    ccbal 2761.203 467.9893 2698.429 2834.433</w:t>
      </w:r>
      <w:r>
        <w:br/>
      </w:r>
      <w:r>
        <w:rPr>
          <w:rStyle w:val="VerbatimChar"/>
        </w:rPr>
        <w:t xml:space="preserve">##     Parent    ccbal 3548.767 273.3059 3508.248 3590.025</w:t>
      </w:r>
    </w:p>
    <w:p>
      <w:pPr>
        <w:pStyle w:val="FirstParagraph"/>
      </w:pPr>
      <w:r>
        <w:t xml:space="preserve">The cross-tabulation confirms the expected pattern: parents aged 31–44 carry</w:t>
      </w:r>
      <w:r>
        <w:t xml:space="preserve"> </w:t>
      </w:r>
      <w:r>
        <w:t xml:space="preserve">higher credit card balances and are more likely to have any revolving debt than childless</w:t>
      </w:r>
      <w:r>
        <w:t xml:space="preserve"> </w:t>
      </w:r>
      <w:r>
        <w:t xml:space="preserve">households. Combined with the regression findings from both papers, the synthesis is:</w:t>
      </w:r>
    </w:p>
    <w:p>
      <w:pPr>
        <w:pStyle w:val="BodyText"/>
      </w:pPr>
      <w:r>
        <w:rPr>
          <w:b/>
          <w:bCs/>
        </w:rPr>
        <w:t xml:space="preserve">Parenthood drives credit card debt; the balance sheet shapes childlessness.</w:t>
      </w:r>
      <w:r>
        <w:t xml:space="preserve"> </w:t>
      </w:r>
      <w:r>
        <w:t xml:space="preserve">The main paper shows that having children increases the odds of carrying credit card</w:t>
      </w:r>
      <w:r>
        <w:t xml:space="preserve"> </w:t>
      </w:r>
      <w:r>
        <w:t xml:space="preserve">debt by over 50%%, while additional children beyond the first do not compound the effect.</w:t>
      </w:r>
      <w:r>
        <w:t xml:space="preserve"> </w:t>
      </w:r>
      <w:r>
        <w:t xml:space="preserve">This companion paper shows that childlessness is predicted not by income or total wealth,</w:t>
      </w:r>
      <w:r>
        <w:t xml:space="preserve"> </w:t>
      </w:r>
      <w:r>
        <w:t xml:space="preserve">but by the composition of the balance sheet — retirement assets on one side, credit</w:t>
      </w:r>
      <w:r>
        <w:t xml:space="preserve"> </w:t>
      </w:r>
      <w:r>
        <w:t xml:space="preserve">constraints on the other. The economic story of family formation is richer than a single</w:t>
      </w:r>
      <w:r>
        <w:t xml:space="preserve"> </w:t>
      </w:r>
      <w:r>
        <w:t xml:space="preserve">income number can capture.</w:t>
      </w:r>
    </w:p>
    <w:p>
      <w:pPr>
        <w:pStyle w:val="BodyText"/>
      </w:pPr>
      <w:r>
        <w:rPr>
          <w:b/>
          <w:bCs/>
        </w:rPr>
        <w:t xml:space="preserve">Credit denial links both outcomes.</w:t>
      </w:r>
      <w:r>
        <w:t xml:space="preserve"> </w:t>
      </w:r>
      <w:r>
        <w:t xml:space="preserve">Households denied credit are simultaneously</w:t>
      </w:r>
      <w:r>
        <w:t xml:space="preserve"> </w:t>
      </w:r>
      <w:r>
        <w:t xml:space="preserve">more likely to carry revolving credit card debt (main paper) and more likely to be</w:t>
      </w:r>
      <w:r>
        <w:t xml:space="preserve"> </w:t>
      </w:r>
      <w:r>
        <w:t xml:space="preserve">childless (this paper). Financial exclusion marks a population experiencing precarity</w:t>
      </w:r>
      <w:r>
        <w:t xml:space="preserve"> </w:t>
      </w:r>
      <w:r>
        <w:t xml:space="preserve">across multiple domains.</w:t>
      </w:r>
    </w:p>
    <w:p>
      <w:pPr>
        <w:pStyle w:val="BodyText"/>
      </w:pPr>
      <w:r>
        <w:rPr>
          <w:b/>
          <w:bCs/>
        </w:rPr>
        <w:t xml:space="preserve">Income protects against debt, not against childlessness.</w:t>
      </w:r>
      <w:r>
        <w:t xml:space="preserve"> </w:t>
      </w:r>
      <w:r>
        <w:t xml:space="preserve">Higher wages reduce</w:t>
      </w:r>
      <w:r>
        <w:t xml:space="preserve"> </w:t>
      </w:r>
      <w:r>
        <w:t xml:space="preserve">credit card balances among debtors (main paper) but do not reduce childlessness (this</w:t>
      </w:r>
      <w:r>
        <w:t xml:space="preserve"> </w:t>
      </w:r>
      <w:r>
        <w:t xml:space="preserve">paper). The implication for policy is that income support may alleviate the debt burden</w:t>
      </w:r>
      <w:r>
        <w:t xml:space="preserve"> </w:t>
      </w:r>
      <w:r>
        <w:t xml:space="preserve">of existing parents but is unlikely, on its own, to shift fertility patterns.</w:t>
      </w:r>
    </w:p>
    <w:p>
      <w:r>
        <w:pict>
          <v:rect style="width:0;height:1.5pt" o:hralign="center" o:hrstd="t" o:hr="t"/>
        </w:pict>
      </w:r>
    </w:p>
    <w:bookmarkEnd w:id="40"/>
    <w:bookmarkStart w:id="43" w:name="robustness-interaction-effects"/>
    <w:p>
      <w:pPr>
        <w:pStyle w:val="Heading1"/>
      </w:pPr>
      <w:r>
        <w:t xml:space="preserve">Robustness: Interaction Effects</w:t>
      </w:r>
    </w:p>
    <w:p>
      <w:pPr>
        <w:pStyle w:val="FirstParagraph"/>
      </w:pPr>
      <w:r>
        <w:t xml:space="preserve">As a robustness check, we test whether the association between education and</w:t>
      </w:r>
      <w:r>
        <w:t xml:space="preserve"> </w:t>
      </w:r>
      <w:r>
        <w:t xml:space="preserve">childlessness, and between marriage and childlessness, varies by race/ethnicity. If</w:t>
      </w:r>
      <w:r>
        <w:t xml:space="preserve"> </w:t>
      </w:r>
      <w:r>
        <w:t xml:space="preserve">the financial and demographic predictors operate differently across racial groups —</w:t>
      </w:r>
      <w:r>
        <w:t xml:space="preserve"> </w:t>
      </w:r>
      <w:r>
        <w:t xml:space="preserve">as immigration-related assimilation theories would predict — we would expect significant</w:t>
      </w:r>
      <w:r>
        <w:t xml:space="preserve"> </w:t>
      </w:r>
      <w:r>
        <w:t xml:space="preserve">interaction terms.</w:t>
      </w:r>
    </w:p>
    <w:bookmarkStart w:id="41" w:name="race-education-interactions"/>
    <w:p>
      <w:pPr>
        <w:pStyle w:val="Heading3"/>
      </w:pPr>
      <w:r>
        <w:t xml:space="preserve">Race × Education Interactions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college_degree:race_catBlack</w:t>
      </w:r>
      <w:r>
        <w:t xml:space="preserve">: log-odds = 0.796 (p = 1.31e-01, not significant)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college_degree:race_catHispanic</w:t>
      </w:r>
      <w:r>
        <w:t xml:space="preserve">: log-odds = 0.537 (p = 4.57e-01, not significant)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college_degree:race_catOther</w:t>
      </w:r>
      <w:r>
        <w:t xml:space="preserve">: log-odds = 0.883 (p = 2.99e-02, significant)</w:t>
      </w:r>
    </w:p>
    <w:p>
      <w:pPr>
        <w:pStyle w:val="FirstParagraph"/>
      </w:pPr>
      <w:r>
        <w:t xml:space="preserve">One or more of the race × education interactions reach significance at the</w:t>
      </w:r>
      <w:r>
        <w:t xml:space="preserve"> </w:t>
      </w:r>
      <w:r>
        <w:t xml:space="preserve">0.05 level.</w:t>
      </w:r>
    </w:p>
    <w:bookmarkEnd w:id="41"/>
    <w:bookmarkStart w:id="42" w:name="race-marriage-interactions"/>
    <w:p>
      <w:pPr>
        <w:pStyle w:val="Heading3"/>
      </w:pPr>
      <w:r>
        <w:t xml:space="preserve">Race × Marriage Interactions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currently_married:race_catBlack</w:t>
      </w:r>
      <w:r>
        <w:t xml:space="preserve">: log-odds = 0.309 (p = 5.98e-01, not significant)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currently_married:race_catHispanic</w:t>
      </w:r>
      <w:r>
        <w:t xml:space="preserve">: log-odds = -0.474 (p = 3.72e-01, not significant)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currently_married:race_catOther</w:t>
      </w:r>
      <w:r>
        <w:t xml:space="preserve">: log-odds = -0.002 (p = 9.96e-01, not significant)</w:t>
      </w:r>
    </w:p>
    <w:p>
      <w:pPr>
        <w:pStyle w:val="FirstParagraph"/>
      </w:pPr>
      <w:r>
        <w:t xml:space="preserve">None of the race × marriage interactions reach significance.</w:t>
      </w:r>
    </w:p>
    <w:p>
      <w:pPr>
        <w:pStyle w:val="BodyText"/>
      </w:pPr>
      <w:r>
        <w:t xml:space="preserve">These interaction tests should be interpreted with caution given the sample size.</w:t>
      </w:r>
      <w:r>
        <w:t xml:space="preserve"> </w:t>
      </w:r>
      <w:r>
        <w:t xml:space="preserve">The 31–44 age restriction yields approximately 1,000 observations, and adding interaction</w:t>
      </w:r>
      <w:r>
        <w:t xml:space="preserve"> </w:t>
      </w:r>
      <w:r>
        <w:t xml:space="preserve">terms further reduces the effective sample size within each cell. Non-significant</w:t>
      </w:r>
      <w:r>
        <w:t xml:space="preserve"> </w:t>
      </w:r>
      <w:r>
        <w:t xml:space="preserve">interactions may reflect insufficient power rather than true homogeneity of effects</w:t>
      </w:r>
      <w:r>
        <w:t xml:space="preserve"> </w:t>
      </w:r>
      <w:r>
        <w:t xml:space="preserve">across racial groups.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t xml:space="preserve">This analysis demonstrates that a household’s financial balance sheet is intricately</w:t>
      </w:r>
      <w:r>
        <w:t xml:space="preserve"> </w:t>
      </w:r>
      <w:r>
        <w:t xml:space="preserve">linked to its co-resident childlessness status during the prime family formation years.</w:t>
      </w:r>
      <w:r>
        <w:t xml:space="preserve"> </w:t>
      </w:r>
      <w:r>
        <w:t xml:space="preserve">The key contribution is that the economic context of childlessness is richer than simple</w:t>
      </w:r>
      <w:r>
        <w:t xml:space="preserve"> </w:t>
      </w:r>
      <w:r>
        <w:t xml:space="preserve">measures of income or wealth can capture.</w:t>
      </w:r>
    </w:p>
    <w:p>
      <w:pPr>
        <w:pStyle w:val="BodyText"/>
      </w:pPr>
      <w:r>
        <w:t xml:space="preserve">The strong positive association between retirement assets and childlessness, combined with</w:t>
      </w:r>
      <w:r>
        <w:t xml:space="preserve"> </w:t>
      </w:r>
      <w:r>
        <w:t xml:space="preserve">the positive association between credit denial and childlessness, paints a picture of</w:t>
      </w:r>
      <w:r>
        <w:t xml:space="preserve"> </w:t>
      </w:r>
      <w:r>
        <w:t xml:space="preserve">competing financial pressures operating at opposite ends of the economic spectrum. At the</w:t>
      </w:r>
      <w:r>
        <w:t xml:space="preserve"> </w:t>
      </w:r>
      <w:r>
        <w:t xml:space="preserve">upper end, households investing in long-term financial security face opportunity costs</w:t>
      </w:r>
      <w:r>
        <w:t xml:space="preserve"> </w:t>
      </w:r>
      <w:r>
        <w:t xml:space="preserve">that may delay or preclude family formation. At the lower end, households denied access</w:t>
      </w:r>
      <w:r>
        <w:t xml:space="preserve"> </w:t>
      </w:r>
      <w:r>
        <w:t xml:space="preserve">to credit face material barriers and financial instability that may produce the same</w:t>
      </w:r>
      <w:r>
        <w:t xml:space="preserve"> </w:t>
      </w:r>
      <w:r>
        <w:t xml:space="preserve">outcome through a different mechanism. In between, aggregate income and wealth do not</w:t>
      </w:r>
      <w:r>
        <w:t xml:space="preserve"> </w:t>
      </w:r>
      <w:r>
        <w:t xml:space="preserve">distinguish childless households from parents — it is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 balance</w:t>
      </w:r>
      <w:r>
        <w:t xml:space="preserve"> </w:t>
      </w:r>
      <w:r>
        <w:t xml:space="preserve">sheet, not its total, that matters.</w:t>
      </w:r>
    </w:p>
    <w:p>
      <w:pPr>
        <w:pStyle w:val="BodyText"/>
      </w:pPr>
      <w:r>
        <w:t xml:space="preserve">The non-significant racial coefficients in the fully controlled model are notable but</w:t>
      </w:r>
      <w:r>
        <w:t xml:space="preserve"> </w:t>
      </w:r>
      <w:r>
        <w:t xml:space="preserve">should be interpreted conservatively. The descriptive statistics show clear differences</w:t>
      </w:r>
      <w:r>
        <w:t xml:space="preserve"> </w:t>
      </w:r>
      <w:r>
        <w:t xml:space="preserve">in co-resident childlessness rates by race and ethnicity, with Hispanic households</w:t>
      </w:r>
      <w:r>
        <w:t xml:space="preserve"> </w:t>
      </w:r>
      <w:r>
        <w:t xml:space="preserve">showing the lowest rates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(primarily Asian) households showing the highest.</w:t>
      </w:r>
      <w:r>
        <w:t xml:space="preserve"> </w:t>
      </w:r>
      <w:r>
        <w:t xml:space="preserve">These differences could reflect nativity composition, differential rates of non-custodial</w:t>
      </w:r>
      <w:r>
        <w:t xml:space="preserve"> </w:t>
      </w:r>
      <w:r>
        <w:t xml:space="preserve">parenthood, cultural variation in family formation norms, or other factors that the SCF</w:t>
      </w:r>
      <w:r>
        <w:t xml:space="preserve"> </w:t>
      </w:r>
      <w:r>
        <w:t xml:space="preserve">cannot isolate. Other scholars have argued persuasively that immigration-driven</w:t>
      </w:r>
      <w:r>
        <w:t xml:space="preserve"> </w:t>
      </w:r>
      <w:r>
        <w:t xml:space="preserve">compositional effects play a substantial role in racial fertility differentials (Parrado</w:t>
      </w:r>
      <w:r>
        <w:t xml:space="preserve"> </w:t>
      </w:r>
      <w:r>
        <w:t xml:space="preserve">&amp; Morgan, 2008; Adserà &amp; Ferrer, 2015; Camarota &amp; Zeigler, 2025). Testing this</w:t>
      </w:r>
      <w:r>
        <w:t xml:space="preserve"> </w:t>
      </w:r>
      <w:r>
        <w:t xml:space="preserve">hypothesis directly requires a dataset that combines detailed fertility history with</w:t>
      </w:r>
      <w:r>
        <w:t xml:space="preserve"> </w:t>
      </w:r>
      <w:r>
        <w:t xml:space="preserve">nativity data — a task for which the National Survey of Family Growth (NSFG), American</w:t>
      </w:r>
      <w:r>
        <w:t xml:space="preserve"> </w:t>
      </w:r>
      <w:r>
        <w:t xml:space="preserve">Community Survey (ACS), or CPS Fertility Supplement would be better suited.</w:t>
      </w:r>
    </w:p>
    <w:p>
      <w:pPr>
        <w:pStyle w:val="BodyText"/>
      </w:pPr>
      <w:r>
        <w:t xml:space="preserve">Nonetheless, this paper makes a valuable contribution by centering the role of wealth</w:t>
      </w:r>
      <w:r>
        <w:t xml:space="preserve"> </w:t>
      </w:r>
      <w:r>
        <w:t xml:space="preserve">composition, debt structure, and credit access in the study of household formation. The</w:t>
      </w:r>
      <w:r>
        <w:t xml:space="preserve"> </w:t>
      </w:r>
      <w:r>
        <w:t xml:space="preserve">findings suggest that policies aimed at easing the financial burden of child-rearing</w:t>
      </w:r>
      <w:r>
        <w:t xml:space="preserve"> </w:t>
      </w:r>
      <w:r>
        <w:t xml:space="preserve">should consider not only income support but also mechanisms to improve household</w:t>
      </w:r>
      <w:r>
        <w:t xml:space="preserve"> </w:t>
      </w:r>
      <w:r>
        <w:t xml:space="preserve">liquidity, access to credit, and the ability to save for both retirement and</w:t>
      </w:r>
      <w:r>
        <w:t xml:space="preserve"> </w:t>
      </w:r>
      <w:r>
        <w:t xml:space="preserve">child-related expenses simultaneously. The framing of children as a</w:t>
      </w:r>
      <w:r>
        <w:t xml:space="preserve"> </w:t>
      </w:r>
      <w:r>
        <w:t xml:space="preserve">“financial trade-off”</w:t>
      </w:r>
      <w:r>
        <w:t xml:space="preserve"> </w:t>
      </w:r>
      <w:r>
        <w:t xml:space="preserve">against retirement savings is not merely metaphorical — the data confirm it is a</w:t>
      </w:r>
      <w:r>
        <w:t xml:space="preserve"> </w:t>
      </w:r>
      <w:r>
        <w:t xml:space="preserve">measurable feature of the American household balance sheet.</w:t>
      </w:r>
    </w:p>
    <w:p>
      <w:r>
        <w:pict>
          <v:rect style="width:0;height:1.5pt" o:hralign="center" o:hrstd="t" o:hr="t"/>
        </w:pict>
      </w:r>
    </w:p>
    <w:bookmarkEnd w:id="44"/>
    <w:bookmarkStart w:id="45" w:name="limitations"/>
    <w:p>
      <w:pPr>
        <w:pStyle w:val="Heading1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Co-resident child status, not biological fertility.</w:t>
      </w:r>
      <w:r>
        <w:t xml:space="preserve"> </w:t>
      </w:r>
      <w:r>
        <w:t xml:space="preserve">The SCF’s</w:t>
      </w:r>
      <w:r>
        <w:t xml:space="preserve"> </w:t>
      </w:r>
      <w:r>
        <w:rPr>
          <w:rStyle w:val="VerbatimChar"/>
        </w:rPr>
        <w:t xml:space="preserve">kids</w:t>
      </w:r>
      <w:r>
        <w:t xml:space="preserve"> </w:t>
      </w:r>
      <w:r>
        <w:t xml:space="preserve">variable</w:t>
      </w:r>
      <w:r>
        <w:t xml:space="preserve"> </w:t>
      </w:r>
      <w:r>
        <w:t xml:space="preserve">measures children currently present in the household. Non-custodial parents (primarily</w:t>
      </w:r>
      <w:r>
        <w:t xml:space="preserve"> </w:t>
      </w:r>
      <w:r>
        <w:t xml:space="preserve">fathers), parents whose children live with other relatives, and other scenarios of</w:t>
      </w:r>
      <w:r>
        <w:t xml:space="preserve"> </w:t>
      </w:r>
      <w:r>
        <w:t xml:space="preserve">parent-child separation are misclassified as childless. This error is likely correlated</w:t>
      </w:r>
      <w:r>
        <w:t xml:space="preserve"> </w:t>
      </w:r>
      <w:r>
        <w:t xml:space="preserve">with race, income, and marital status, and could bias coefficients in unpredictable</w:t>
      </w:r>
      <w:r>
        <w:t xml:space="preserve"> </w:t>
      </w:r>
      <w:r>
        <w:t xml:space="preserve">ways. For example, if non-custodial fatherhood is more prevalent among Black or</w:t>
      </w:r>
      <w:r>
        <w:t xml:space="preserve"> </w:t>
      </w:r>
      <w:r>
        <w:t xml:space="preserve">lower-income households, their childlessness rate will be artificially inflated.</w:t>
      </w:r>
    </w:p>
    <w:p>
      <w:pPr>
        <w:pStyle w:val="BodyText"/>
      </w:pPr>
      <w:r>
        <w:rPr>
          <w:b/>
          <w:bCs/>
        </w:rPr>
        <w:t xml:space="preserve">Sample size and statistical power.</w:t>
      </w:r>
      <w:r>
        <w:t xml:space="preserve"> </w:t>
      </w:r>
      <w:r>
        <w:t xml:space="preserve">With approximately 1,000 observations and</w:t>
      </w:r>
      <w:r>
        <w:t xml:space="preserve"> </w:t>
      </w:r>
      <w:r>
        <w:t xml:space="preserve">24 predictors (~42</w:t>
      </w:r>
      <w:r>
        <w:t xml:space="preserve"> </w:t>
      </w:r>
      <w:r>
        <w:t xml:space="preserve">observations per predictor), the model has adequate power for large effects (e.g.,</w:t>
      </w:r>
      <w:r>
        <w:t xml:space="preserve"> </w:t>
      </w:r>
      <w:r>
        <w:t xml:space="preserve">marriage, education) but limited power for moderate effects, particularly among racial</w:t>
      </w:r>
      <w:r>
        <w:t xml:space="preserve"> </w:t>
      </w:r>
      <w:r>
        <w:t xml:space="preserve">subgroups with smaller cell sizes.</w:t>
      </w:r>
    </w:p>
    <w:p>
      <w:pPr>
        <w:pStyle w:val="BodyText"/>
      </w:pPr>
      <w:r>
        <w:rPr>
          <w:b/>
          <w:bCs/>
        </w:rPr>
        <w:t xml:space="preserve">No nativity data.</w:t>
      </w:r>
      <w:r>
        <w:t xml:space="preserve"> </w:t>
      </w:r>
      <w:r>
        <w:t xml:space="preserve">The SCF does not identify foreign-born status, country of origin,</w:t>
      </w:r>
      <w:r>
        <w:t xml:space="preserve"> </w:t>
      </w:r>
      <w:r>
        <w:t xml:space="preserve">generation, or years in the U.S. The role of immigration in shaping racial fertility</w:t>
      </w:r>
      <w:r>
        <w:t xml:space="preserve"> </w:t>
      </w:r>
      <w:r>
        <w:t xml:space="preserve">differentials cannot be tested directly.</w:t>
      </w:r>
    </w:p>
    <w:p>
      <w:pPr>
        <w:pStyle w:val="BodyText"/>
      </w:pPr>
      <w:r>
        <w:rPr>
          <w:b/>
          <w:bCs/>
        </w:rPr>
        <w:t xml:space="preserve">Cross-sectional design.</w:t>
      </w:r>
      <w:r>
        <w:t xml:space="preserve"> </w:t>
      </w:r>
      <w:r>
        <w:t xml:space="preserve">We cannot distinguish between voluntary childlessness,</w:t>
      </w:r>
      <w:r>
        <w:t xml:space="preserve"> </w:t>
      </w:r>
      <w:r>
        <w:t xml:space="preserve">involuntary childlessness, and intended-but-not-yet-realized parenthood. All findings</w:t>
      </w:r>
      <w:r>
        <w:t xml:space="preserve"> </w:t>
      </w:r>
      <w:r>
        <w:t xml:space="preserve">are correlational.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“Other”</w:t>
      </w:r>
      <w:r>
        <w:rPr>
          <w:b/>
          <w:bCs/>
        </w:rPr>
        <w:t xml:space="preserve"> </w:t>
      </w:r>
      <w:r>
        <w:rPr>
          <w:b/>
          <w:bCs/>
        </w:rPr>
        <w:t xml:space="preserve">race category.</w:t>
      </w:r>
      <w:r>
        <w:t xml:space="preserve"> </w:t>
      </w:r>
      <w:r>
        <w:t xml:space="preserve">This group aggregates Asian, Pacific Islander, American</w:t>
      </w:r>
      <w:r>
        <w:t xml:space="preserve"> </w:t>
      </w:r>
      <w:r>
        <w:t xml:space="preserve">Indian/Alaska Native, and multiracial respondents. Its internal heterogeneity severely</w:t>
      </w:r>
      <w:r>
        <w:t xml:space="preserve"> </w:t>
      </w:r>
      <w:r>
        <w:t xml:space="preserve">limits interpretability.</w:t>
      </w:r>
    </w:p>
    <w:p>
      <w:pPr>
        <w:pStyle w:val="BodyText"/>
      </w:pPr>
      <w:r>
        <w:rPr>
          <w:b/>
          <w:bCs/>
        </w:rPr>
        <w:t xml:space="preserve">Reference person coding.</w:t>
      </w:r>
      <w:r>
        <w:t xml:space="preserve"> </w:t>
      </w:r>
      <w:r>
        <w:t xml:space="preserve">The SCF codes the male as reference person in mixed-sex</w:t>
      </w:r>
      <w:r>
        <w:t xml:space="preserve"> </w:t>
      </w:r>
      <w:r>
        <w:t xml:space="preserve">couples. The</w:t>
      </w:r>
      <w:r>
        <w:t xml:space="preserve"> </w:t>
      </w:r>
      <w:r>
        <w:rPr>
          <w:rStyle w:val="VerbatimChar"/>
        </w:rPr>
        <w:t xml:space="preserve">female</w:t>
      </w:r>
      <w:r>
        <w:t xml:space="preserve"> </w:t>
      </w:r>
      <w:r>
        <w:t xml:space="preserve">coefficient captures household structure, not gender.</w:t>
      </w:r>
    </w:p>
    <w:p>
      <w:r>
        <w:pict>
          <v:rect style="width:0;height:1.5pt" o:hralign="center" o:hrstd="t" o:hr="t"/>
        </w:pict>
      </w:r>
    </w:p>
    <w:bookmarkEnd w:id="45"/>
    <w:bookmarkStart w:id="4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Adserà, A., &amp; Ferrer, A. (2015). Immigrants and demography: Marriage, divorce, and</w:t>
      </w:r>
      <w:r>
        <w:t xml:space="preserve"> </w:t>
      </w:r>
      <w:r>
        <w:t xml:space="preserve">fertility. In B. R. Chiswick &amp; P. W. Miller (Eds.),</w:t>
      </w:r>
      <w:r>
        <w:t xml:space="preserve"> </w:t>
      </w:r>
      <w:r>
        <w:rPr>
          <w:i/>
          <w:iCs/>
        </w:rPr>
        <w:t xml:space="preserve">Handbook of the Economics of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Migration</w:t>
      </w:r>
      <w:r>
        <w:t xml:space="preserve"> </w:t>
      </w:r>
      <w:r>
        <w:t xml:space="preserve">(Vol. 1A, pp. 315–374). North-Holland.</w:t>
      </w:r>
    </w:p>
    <w:p>
      <w:pPr>
        <w:pStyle w:val="BodyText"/>
      </w:pPr>
      <w:r>
        <w:t xml:space="preserve">Bricker, J., et al. (2023). Changes in U.S. family finances from 2019 to 2022: Evidence</w:t>
      </w:r>
      <w:r>
        <w:t xml:space="preserve"> </w:t>
      </w:r>
      <w:r>
        <w:t xml:space="preserve">from the Survey of Consumer Finances.</w:t>
      </w:r>
      <w:r>
        <w:t xml:space="preserve"> </w:t>
      </w:r>
      <w:r>
        <w:rPr>
          <w:i/>
          <w:iCs/>
        </w:rPr>
        <w:t xml:space="preserve">Federal Reserve Bulletin</w:t>
      </w:r>
      <w:r>
        <w:t xml:space="preserve">.</w:t>
      </w:r>
    </w:p>
    <w:p>
      <w:pPr>
        <w:pStyle w:val="BodyText"/>
      </w:pPr>
      <w:r>
        <w:t xml:space="preserve">Cai, Y., &amp; Morgan, S. P. (2019). Low fertility in China and the United States.</w:t>
      </w:r>
      <w:r>
        <w:t xml:space="preserve"> </w:t>
      </w:r>
      <w:r>
        <w:rPr>
          <w:i/>
          <w:iCs/>
        </w:rPr>
        <w:t xml:space="preserve">Population and Development Review</w:t>
      </w:r>
      <w:r>
        <w:t xml:space="preserve">, 45(S1), 235–262.</w:t>
      </w:r>
    </w:p>
    <w:p>
      <w:pPr>
        <w:pStyle w:val="BodyText"/>
      </w:pPr>
      <w:r>
        <w:t xml:space="preserve">Camarota, S. A., &amp; Zeigler, K. (2025). The fertility of immigrants and natives in the</w:t>
      </w:r>
      <w:r>
        <w:t xml:space="preserve"> </w:t>
      </w:r>
      <w:r>
        <w:t xml:space="preserve">United States, 2023. Center for Immigration Studies.</w:t>
      </w:r>
    </w:p>
    <w:p>
      <w:pPr>
        <w:pStyle w:val="BodyText"/>
      </w:pPr>
      <w:r>
        <w:t xml:space="preserve">Cohen, G. (2025). scf: Analyzing the Survey of Consumer Finances. R package version 1.0.5.</w:t>
      </w:r>
    </w:p>
    <w:p>
      <w:pPr>
        <w:pStyle w:val="BodyText"/>
      </w:pPr>
      <w:r>
        <w:t xml:space="preserve">Guzzo, K. B., &amp; Loo, J. (2023). Number of children to women aged 40–44, 1980–2022.</w:t>
      </w:r>
      <w:r>
        <w:t xml:space="preserve"> </w:t>
      </w:r>
      <w:r>
        <w:rPr>
          <w:i/>
          <w:iCs/>
        </w:rPr>
        <w:t xml:space="preserve">Family Profiles</w:t>
      </w:r>
      <w:r>
        <w:t xml:space="preserve"> </w:t>
      </w:r>
      <w:r>
        <w:t xml:space="preserve">(FP-23-29). National Center for Family &amp; Marriage Research.</w:t>
      </w:r>
    </w:p>
    <w:p>
      <w:pPr>
        <w:pStyle w:val="BodyText"/>
      </w:pPr>
      <w:r>
        <w:t xml:space="preserve">Hanna, S. D., &amp; Lindamood, S. (2008). Behind the numbers: Understanding the Survey of</w:t>
      </w:r>
      <w:r>
        <w:t xml:space="preserve"> </w:t>
      </w:r>
      <w:r>
        <w:t xml:space="preserve">Consumer Finances.</w:t>
      </w:r>
      <w:r>
        <w:t xml:space="preserve"> </w:t>
      </w:r>
      <w:r>
        <w:rPr>
          <w:i/>
          <w:iCs/>
        </w:rPr>
        <w:t xml:space="preserve">Journal of Financial Counseling and Planning</w:t>
      </w:r>
      <w:r>
        <w:t xml:space="preserve">, 19(2), 52–66.</w:t>
      </w:r>
    </w:p>
    <w:p>
      <w:pPr>
        <w:pStyle w:val="BodyText"/>
      </w:pPr>
      <w:r>
        <w:t xml:space="preserve">Lino, M., Kuczynski, K., Rodriguez, N., &amp; Schap, T. (2020). Expenditures on children</w:t>
      </w:r>
      <w:r>
        <w:t xml:space="preserve"> </w:t>
      </w:r>
      <w:r>
        <w:t xml:space="preserve">by families, 2015. U.S. Department of Agriculture, Miscellaneous Report No. 1528-2015.</w:t>
      </w:r>
    </w:p>
    <w:p>
      <w:pPr>
        <w:pStyle w:val="BodyText"/>
      </w:pPr>
      <w:r>
        <w:t xml:space="preserve">Livingston, G. (2015). Childlessness falls, family size grows among highly educated</w:t>
      </w:r>
      <w:r>
        <w:t xml:space="preserve"> </w:t>
      </w:r>
      <w:r>
        <w:t xml:space="preserve">women. Pew Research Center.</w:t>
      </w:r>
    </w:p>
    <w:p>
      <w:pPr>
        <w:pStyle w:val="BodyText"/>
      </w:pPr>
      <w:r>
        <w:t xml:space="preserve">Osterman, M. J. K., Hamilton, B. E., Martin, J. A., Driscoll, A. K., &amp; Valenzuela,</w:t>
      </w:r>
      <w:r>
        <w:t xml:space="preserve"> </w:t>
      </w:r>
      <w:r>
        <w:t xml:space="preserve">C. P. (2023). Births: Final data for 2021.</w:t>
      </w:r>
      <w:r>
        <w:t xml:space="preserve"> </w:t>
      </w:r>
      <w:r>
        <w:rPr>
          <w:i/>
          <w:iCs/>
        </w:rPr>
        <w:t xml:space="preserve">National Vital Statistics Reports</w:t>
      </w:r>
      <w:r>
        <w:t xml:space="preserve">, 72(1),</w:t>
      </w:r>
      <w:r>
        <w:t xml:space="preserve"> </w:t>
      </w:r>
      <w:r>
        <w:t xml:space="preserve">1–53.</w:t>
      </w:r>
    </w:p>
    <w:p>
      <w:pPr>
        <w:pStyle w:val="BodyText"/>
      </w:pPr>
      <w:r>
        <w:t xml:space="preserve">Parrado, E. A., &amp; Morgan, S. P. (2008). Intergenerational fertility among Hispanic</w:t>
      </w:r>
      <w:r>
        <w:t xml:space="preserve"> </w:t>
      </w:r>
      <w:r>
        <w:t xml:space="preserve">women: New evidence of immigrant assimilation.</w:t>
      </w:r>
      <w:r>
        <w:t xml:space="preserve"> </w:t>
      </w:r>
      <w:r>
        <w:rPr>
          <w:i/>
          <w:iCs/>
        </w:rPr>
        <w:t xml:space="preserve">Demography</w:t>
      </w:r>
      <w:r>
        <w:t xml:space="preserve">, 45(3), 651–671.</w:t>
      </w:r>
    </w:p>
    <w:p>
      <w:pPr>
        <w:pStyle w:val="BodyText"/>
      </w:pPr>
      <w:r>
        <w:t xml:space="preserve">Pew Research Center. (2015). Childlessness falls, family size grows among highly</w:t>
      </w:r>
      <w:r>
        <w:t xml:space="preserve"> </w:t>
      </w:r>
      <w:r>
        <w:t xml:space="preserve">educated women.</w:t>
      </w:r>
    </w:p>
    <w:p>
      <w:pPr>
        <w:pStyle w:val="BodyText"/>
      </w:pPr>
      <w:r>
        <w:t xml:space="preserve">Zill, N. (2025). Four million American women reach ages 40 to 50 without children.</w:t>
      </w:r>
      <w:r>
        <w:t xml:space="preserve"> </w:t>
      </w:r>
      <w:r>
        <w:t xml:space="preserve">Institute for Family Studies.</w:t>
      </w:r>
    </w:p>
    <w:p>
      <w:r>
        <w:pict>
          <v:rect style="width:0;height:1.5pt" o:hralign="center" o:hrstd="t" o:hr="t"/>
        </w:pict>
      </w:r>
    </w:p>
    <w:bookmarkEnd w:id="46"/>
    <w:bookmarkStart w:id="47" w:name="appendix-technical-notes"/>
    <w:p>
      <w:pPr>
        <w:pStyle w:val="Heading1"/>
      </w:pPr>
      <w:r>
        <w:t xml:space="preserve">Appendix: Technical Notes</w:t>
      </w:r>
    </w:p>
    <w:p>
      <w:pPr>
        <w:pStyle w:val="FirstParagraph"/>
      </w:pPr>
      <w:r>
        <w:rPr>
          <w:b/>
          <w:bCs/>
        </w:rPr>
        <w:t xml:space="preserve">Multiple Imputation.</w:t>
      </w:r>
      <w:r>
        <w:t xml:space="preserve"> </w:t>
      </w:r>
      <w:r>
        <w:t xml:space="preserve">All statistics and models are pooled across the SCF’s five</w:t>
      </w:r>
      <w:r>
        <w:t xml:space="preserve"> </w:t>
      </w:r>
      <w:r>
        <w:t xml:space="preserve">implicates using Rubin’s Rules.</w:t>
      </w:r>
    </w:p>
    <w:p>
      <w:pPr>
        <w:pStyle w:val="BodyText"/>
      </w:pPr>
      <w:r>
        <w:rPr>
          <w:b/>
          <w:bCs/>
        </w:rPr>
        <w:t xml:space="preserve">Survey Weights.</w:t>
      </w:r>
      <w:r>
        <w:t xml:space="preserve"> </w:t>
      </w:r>
      <w:r>
        <w:t xml:space="preserve">All estimates — including figures — use SCF replicate weights</w:t>
      </w:r>
      <w:r>
        <w:t xml:space="preserve"> </w:t>
      </w:r>
      <w:r>
        <w:t xml:space="preserve">(balanced repeated replication). No unweighted estimates are reported.</w:t>
      </w:r>
    </w:p>
    <w:p>
      <w:pPr>
        <w:pStyle w:val="BodyText"/>
      </w:pPr>
      <w:r>
        <w:rPr>
          <w:b/>
          <w:bCs/>
        </w:rPr>
        <w:t xml:space="preserve">Sample Restriction.</w:t>
      </w:r>
      <w:r>
        <w:t xml:space="preserve"> </w:t>
      </w:r>
      <w:r>
        <w:t xml:space="preserve">Ages 31–44. This window aligns with the prime family formation</w:t>
      </w:r>
      <w:r>
        <w:t xml:space="preserve"> </w:t>
      </w:r>
      <w:r>
        <w:t xml:space="preserve">years and avoids conflating empty-nesting with childlessness.</w:t>
      </w:r>
    </w:p>
    <w:p>
      <w:pPr>
        <w:pStyle w:val="BodyText"/>
      </w:pPr>
      <w:r>
        <w:rPr>
          <w:b/>
          <w:bCs/>
        </w:rPr>
        <w:t xml:space="preserve">Tautology Correction.</w:t>
      </w:r>
      <w:r>
        <w:t xml:space="preserve"> </w:t>
      </w:r>
      <w:r>
        <w:rPr>
          <w:rStyle w:val="VerbatimChar"/>
        </w:rPr>
        <w:t xml:space="preserve">asinh_debt_excl_cc</w:t>
      </w:r>
      <w:r>
        <w:t xml:space="preserve"> </w:t>
      </w:r>
      <w:r>
        <w:t xml:space="preserve">(total debt minus credit card balance)</w:t>
      </w:r>
      <w:r>
        <w:t xml:space="preserve"> </w:t>
      </w:r>
      <w:r>
        <w:t xml:space="preserve">replaces</w:t>
      </w:r>
      <w:r>
        <w:t xml:space="preserve"> </w:t>
      </w:r>
      <w:r>
        <w:rPr>
          <w:rStyle w:val="VerbatimChar"/>
        </w:rPr>
        <w:t xml:space="preserve">asinh_debt</w:t>
      </w:r>
      <w:r>
        <w:t xml:space="preserve"> </w:t>
      </w:r>
      <w:r>
        <w:t xml:space="preserve">to avoid mechanical prediction, consistent with the companion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b/>
          <w:bCs/>
        </w:rPr>
        <w:t xml:space="preserve">Statistical Power.</w:t>
      </w:r>
      <w:r>
        <w:t xml:space="preserve"> </w:t>
      </w:r>
      <w:r>
        <w:t xml:space="preserve">With ~1,000 observations and 24</w:t>
      </w:r>
      <w:r>
        <w:t xml:space="preserve"> </w:t>
      </w:r>
      <w:r>
        <w:t xml:space="preserve">predictors, the model is adequately powered for large effects but may miss moderate</w:t>
      </w:r>
      <w:r>
        <w:t xml:space="preserve"> </w:t>
      </w:r>
      <w:r>
        <w:t xml:space="preserve">subgroup differences. Confidence intervals, not p-values alone, should guide</w:t>
      </w:r>
      <w:r>
        <w:t xml:space="preserve"> </w:t>
      </w:r>
      <w:r>
        <w:t xml:space="preserve">interpretation of non-significant coefficients.</w:t>
      </w:r>
    </w:p>
    <w:p>
      <w:pPr>
        <w:pStyle w:val="BodyText"/>
      </w:pPr>
      <w:r>
        <w:rPr>
          <w:b/>
          <w:bCs/>
        </w:rPr>
        <w:t xml:space="preserve">Session Information</w:t>
      </w:r>
    </w:p>
    <w:p>
      <w:pPr>
        <w:pStyle w:val="BodyText"/>
      </w:pPr>
      <w:r>
        <w:t xml:space="preserve">R version: R version 4.5.1 (2025-06-13 ucrt)</w:t>
      </w:r>
    </w:p>
    <w:p>
      <w:pPr>
        <w:pStyle w:val="BodyText"/>
      </w:pPr>
      <w:r>
        <w:t xml:space="preserve">Platform: x86_64-w64-mingw32</w:t>
      </w:r>
    </w:p>
    <w:p>
      <w:pPr>
        <w:pStyle w:val="BodyText"/>
      </w:pPr>
      <w:r>
        <w:t xml:space="preserve">Key packages: scf 1.0.5, glmnet 4.1.10, survey 4.4.8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Financial Balance Sheet of Childlessness</dc:title>
  <dc:creator>Delroy Nichols</dc:creator>
  <cp:keywords/>
  <dcterms:created xsi:type="dcterms:W3CDTF">2026-04-03T18:46:18Z</dcterms:created>
  <dcterms:modified xsi:type="dcterms:W3CDTF">2026-04-03T18:46:18Z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2026-04-03</vt:lpwstr>
  </property>
  <property fmtid="{D5CDD505-2E9C-101B-9397-08002B2CF9AE}" pid="3" name="output">
    <vt:lpwstr/>
  </property>
  <property fmtid="{D5CDD505-2E9C-101B-9397-08002B2CF9AE}" pid="4" name="subtitle">
    <vt:lpwstr>An Analysis of Household Wealth, Debt, and Credit Constraints in the 2022 Survey of Consumer Finances</vt:lpwstr>
  </property>
</Properties>
</file>