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xml:space="preserve">Segmented Assimilation in the American Financial System: Origin-Based Gradients in Immigrant Household Finances </w:t>
      </w:r>
    </w:p>
    <w:p>
      <w:pPr>
        <w:pStyle w:val="Heading1"/>
        <w:keepNext w:val="0"/>
        <w:keepLines w:val="0"/>
        <w:spacing w:before="480" w:after="240"/>
        <w:jc w:val="center"/>
        <w:rPr>
          <w:b/>
          <w:bCs/>
          <w:sz w:val="48"/>
          <w:szCs w:val="48"/>
        </w:rPr>
      </w:pPr>
      <w:r>
        <w:rPr>
          <w:rFonts w:ascii="Times New Roman" w:eastAsia="Times New Roman" w:hAnsi="Times New Roman" w:cs="Times New Roman"/>
          <w:b w:val="0"/>
          <w:bCs w:val="0"/>
          <w:i w:val="0"/>
          <w:color w:val="auto"/>
        </w:rPr>
        <w:t>Segmented Assimilation in the American Financial System: Origin-Based Gradients in Immigrant Household Finances</w:t>
      </w:r>
    </w:p>
    <w:p>
      <w:pPr>
        <w:pStyle w:val="Heading3"/>
        <w:keepNext w:val="0"/>
        <w:keepLines w:val="0"/>
        <w:spacing w:before="140" w:after="140"/>
        <w:jc w:val="center"/>
        <w:rPr>
          <w:b/>
          <w:bCs/>
          <w:sz w:val="28"/>
          <w:szCs w:val="28"/>
        </w:rPr>
      </w:pPr>
      <w:r>
        <w:rPr>
          <w:rFonts w:ascii="Times New Roman" w:eastAsia="Times New Roman" w:hAnsi="Times New Roman" w:cs="Times New Roman"/>
          <w:b w:val="0"/>
          <w:bCs w:val="0"/>
          <w:i w:val="0"/>
          <w:color w:val="auto"/>
        </w:rPr>
        <w:t>Evidence from the 2022 Survey of Consumer Finances</w:t>
      </w:r>
    </w:p>
    <w:p>
      <w:pPr>
        <w:spacing w:before="120" w:after="120"/>
        <w:jc w:val="center"/>
      </w:pPr>
      <w:r>
        <w:t>Delroy Nichols</w:t>
      </w:r>
    </w:p>
    <w:p>
      <w:pPr>
        <w:spacing w:before="120" w:after="120"/>
        <w:jc w:val="center"/>
      </w:pPr>
      <w:r>
        <w:t>2026-04-30</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Table of Contents</w:t>
      </w: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Origin-Based Gradients in Immigrant Household Finances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Abstract</w:t>
      </w:r>
    </w:p>
    <w:p>
      <w:pPr>
        <w:spacing w:before="120" w:after="120"/>
        <w:jc w:val="left"/>
      </w:pPr>
      <w:r>
        <w:t>Two theories make different predictions about the financial outcomes of foreign-born households in the U.S. The human-capital convergence model holds that, once characteristics such as age, education, income, and time since arrival are controlled for, the origin region has no independent effect. The segmented-assimilation framework predicts that the origin region directs households into incorporation pathways whose effects persist beyond human capital and duration of residence. Until 2022, this could not be tested directly because no wealth survey tracked national origin.</w:t>
      </w:r>
    </w:p>
    <w:p>
      <w:pPr>
        <w:spacing w:before="120" w:after="120"/>
        <w:jc w:val="left"/>
      </w:pPr>
      <w:r>
        <w:t>This paper uses new 2022 Survey of Consumer Finances variables on respondent national origin (X6915) and years in the United States (X6906) to test competing predictions across seven financial outcomes spanning three theoretical pathways. Previewing the primary findings, logistic and linear regressions on a foreign-born sample (n=1,103) do not reject the human-capital convergence null: origin-region coefficients are small, statistically indistinguishable from zero, and unaffected by human-capital controls. A duration-stratified robustness check splits the sample into recent arrivals (≤15 years) and long-tenured immigrants (&gt;15 years) to test for segmentation effects in early-stage incorporation and possible convergence over time. Collectively, these results provide limited support for the segmented-assimilation framework and instead indicate that differences by origin region are minimal after controlling for human capital, clarifying when and where segmented-assimilation theory applies to U.S. wealth outcomes.</w:t>
      </w:r>
    </w:p>
    <w:p>
      <w:pPr>
        <w:spacing w:before="120" w:after="120"/>
        <w:jc w:val="left"/>
      </w:pPr>
      <w:r>
        <w:rPr>
          <w:b/>
          <w:bCs/>
        </w:rPr>
        <w:t>Data Source:</w:t>
      </w:r>
      <w:r>
        <w:t xml:space="preserve"> 2022 Survey of Consumer Finances (SCF), Federal Reserve Board. All estimates are survey-weighted; all models are pooled across the SCF’s five multiply-imputed datasets using Rubin’s Rules.</w:t>
      </w:r>
    </w:p>
    <w:p>
      <w:pPr>
        <w:spacing w:before="120" w:after="120"/>
        <w:jc w:val="left"/>
      </w:pPr>
      <w:r>
        <w:rPr>
          <w:b/>
          <w:bCs/>
        </w:rPr>
        <w:t>Note on Scope:</w:t>
      </w:r>
      <w:r>
        <w:t xml:space="preserve"> All findings are correlational and limited to the foreign-born respondent sample. The SCF’s cross-sectional design and absence of parental nativity preclude causal claims and intergenerational analysis.</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The Central Question</w:t>
      </w:r>
    </w:p>
    <w:p>
      <w:pPr>
        <w:spacing w:before="120" w:after="120"/>
        <w:jc w:val="left"/>
      </w:pPr>
      <w:r>
        <w:t>Two major theories explain immigrant economic outcomes in the U.S. The human-capital convergence model, as articulated by Borjas (1987, 1999), contends that factors such as education, English proficiency, age at arrival, and time in the U.S. sufficiently account for economic outcomes, leaving the origin region with no independent effect once these factors are controlled for. Foundational empirical studies by Borjas (1987), Chiswick (1978), and Blau and Graham (1990) provide evidence that, after adjusting for relevant human-capital characteristics and duration of residence, differences in immigrant economic integration by origin region largely disappear.</w:t>
      </w:r>
    </w:p>
    <w:p>
      <w:pPr>
        <w:spacing w:before="120" w:after="120"/>
        <w:jc w:val="left"/>
      </w:pPr>
      <w:r>
        <w:t xml:space="preserve">The </w:t>
      </w:r>
      <w:r>
        <w:rPr>
          <w:b/>
          <w:bCs/>
        </w:rPr>
        <w:t>segmented-assimilation framework</w:t>
      </w:r>
      <w:r>
        <w:t xml:space="preserve">, developed by Alejandro Portes, Rubén Rumbaut, and Min Zhou, makes the opposite prediction. Three pathways are identified: </w:t>
      </w:r>
      <w:r>
        <w:rPr>
          <w:i/>
          <w:iCs/>
        </w:rPr>
        <w:t>parallel integration</w:t>
      </w:r>
      <w:r>
        <w:t xml:space="preserve"> into the white middle class through educational achievement, </w:t>
      </w:r>
      <w:r>
        <w:rPr>
          <w:i/>
          <w:iCs/>
        </w:rPr>
        <w:t>downward assimilation</w:t>
      </w:r>
      <w:r>
        <w:t xml:space="preserve"> into the racialized urban underclass through structural exclusion, and </w:t>
      </w:r>
      <w:r>
        <w:rPr>
          <w:i/>
          <w:iCs/>
        </w:rPr>
        <w:t>selective assimilation</w:t>
      </w:r>
      <w:r>
        <w:t xml:space="preserve"> through retention of ethnic-community ties and resources (Portes &amp; Zhou, 1993; Portes &amp; Rumbaut, 2001). The origin region itself, net of human capital, channels households into these pathways because reception contexts—including race, neighborhood, and labor-market structure—differ systematically across origin groups (Zhou, 1997). For example, a Mexican-origin household with a college degree may face different access to mainstream finance than an Asian-origin household with identical credentials.</w:t>
      </w:r>
    </w:p>
    <w:p>
      <w:pPr>
        <w:spacing w:before="120" w:after="120"/>
        <w:jc w:val="left"/>
      </w:pPr>
      <w:r>
        <w:t>Until 2022, this debate could not be tested directly in U.S. wealth data because no nationally representative wealth survey collected respondents' national origin. Earlier SCF waves identified foreign-born respondents only through indirect indicators and provided no origin-region detail. The 2022 SCF wave added respondent and spouse national origin (X6915, X8055-X8057) and years lived in the United States (X6906, X7796), the first such measures in any nationally representative U.S. wealth survey.</w:t>
      </w:r>
    </w:p>
    <w:p>
      <w:pPr>
        <w:spacing w:before="120" w:after="120"/>
        <w:jc w:val="left"/>
      </w:pPr>
      <w:r>
        <w:t>This paper directly tests whether foreign-born household financial outcomes in the U.S. differ systematically by origin region, after accounting for human capital and years in the country. A finding of large, statistically robust origin-region effects would support segmented assimilation theory, while null or near-null effects would support human-capital convergence. The SCF data now provide a direct means of distinguishing these competing models, making this test both timely and necessary.</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Why This Matters: Beyond Race-Only Frameworks</w:t>
      </w:r>
    </w:p>
    <w:p>
      <w:pPr>
        <w:spacing w:before="120" w:after="120"/>
        <w:jc w:val="left"/>
      </w:pPr>
      <w:r>
        <w:t>Wealth and credit access disparities are generally studied by race rather than by origin. Studies comparing Black and Hispanic groups often treat these populations as homogeneous. However, prior research has shown that distinct groups such as Black Caribbeans, Mexican-origin Hispanics, and Cuban-origin Hispanics may differ financially due to unique migration trajectories and community resources (e.g., Logan, 2007; Smith, 2015; Telles &amp; Ortiz, 2008). Whether these differences appear in 2022 nationally representative data is the empirical question this paper examines.</w:t>
      </w:r>
    </w:p>
    <w:p>
      <w:pPr>
        <w:spacing w:before="120" w:after="120"/>
        <w:jc w:val="left"/>
      </w:pPr>
      <w:r>
        <w:t>The 2022 SCF adds origin-region detail, allowing the field to test if segmented-assimilation pathways (parallel integration, downward assimilation, selective assimilation) appear in wealth and credit data with enough magnitude and statistical precision to distinguish origin groups. If so, interventions for "Hispanic" or "Asian" households would need to be redesigned to address within-group heterogeneity. If not, existing race-based frameworks, simpler, reliably measured, and widely supported, remain the best analytical lens for U.S. wealth disparities, even with origin-region detail.</w:t>
      </w:r>
    </w:p>
    <w:p>
      <w:pPr>
        <w:spacing w:before="120" w:after="120"/>
        <w:jc w:val="left"/>
      </w:pPr>
      <w:r>
        <w:t>The purpose of this paper is to address the longstanding debate over the determinants of immigrant financial outcomes by directly comparing two leading theoretical models—human-capital convergence and segmented assimilation—using the first nationally representative U.S. wealth data that includes national origin. By leveraging new variables from the 2022 Survey of Consumer Finances, this study seeks to clarify whether origin region exerts an independent effect on foreign-born household finances, or if observed differences are fully explained by human-capital characteristics and duration of U.S. residence. Rather than privileging either theoretical perspective, the analysis is designed to provide an unbiased empirical test, thereby clarifying which model is more consistent with the observed data.</w:t>
      </w:r>
    </w:p>
    <w:p>
      <w:pPr>
        <w:spacing w:before="120" w:after="120"/>
        <w:jc w:val="left"/>
      </w:pP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Variable Availability and Diagnostic</w:t>
      </w:r>
    </w:p>
    <w:p>
      <w:pPr>
        <w:spacing w:before="120" w:after="120"/>
        <w:jc w:val="left"/>
      </w:pPr>
      <w:r>
        <w:t>Before constructing variables, we check which directly exposed variables—excluding those derived from segmented assimilation theory—are available in the loaded scf package. The SCF Bulletin extract does not, by default, include new national-origin or years-in-U.S. items (X6906, X7404, X6915); these are raw codebook items, not constructed Bulletin variables. If missing, we read the raw 2022 SCF .rds file and merge by household ID.</w:t>
      </w:r>
    </w:p>
    <w:p>
      <w:pPr>
        <w:spacing w:before="120" w:after="120"/>
        <w:jc w:val="left"/>
      </w:pPr>
      <w:r>
        <w:rPr>
          <w:b/>
          <w:bCs/>
        </w:rPr>
        <w:t>Immigration-variable availability in the scf package extract: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74"/>
        <w:gridCol w:w="237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X6915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X7796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X7404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X8000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X8049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w:t>
            </w:r>
          </w:p>
        </w:tc>
      </w:tr>
    </w:tbl>
    <w:p>
      <w:pPr>
        <w:spacing w:before="120" w:after="120"/>
        <w:jc w:val="left"/>
      </w:pPr>
      <w:r>
        <w:t>Some required immigration variables are missing from the bulletin extract. Attempting to merge them in from the raw 2022 SCF data file…</w:t>
      </w:r>
    </w:p>
    <w:p>
      <w:pPr>
        <w:spacing w:before="120" w:after="120"/>
        <w:jc w:val="left"/>
      </w:pPr>
      <w:r>
        <w:t>## Successfully merged 6 immigration variables from scf_data/p22i6.rds into all 5 implicates.</w:t>
      </w:r>
    </w:p>
    <w:p>
      <w:pPr>
        <w:spacing w:before="120" w:after="120"/>
        <w:jc w:val="left"/>
      </w:pPr>
      <w:r>
        <w:rPr>
          <w:b/>
          <w:bCs/>
        </w:rPr>
        <w:t>Raw X7404 frequency (Implicate 1, unweighted):</w:t>
      </w:r>
    </w:p>
    <w:p>
      <w:pPr>
        <w:spacing w:before="120" w:after="120"/>
        <w:jc w:val="left"/>
      </w:pPr>
      <w:r>
        <w:rPr>
          <w:i/>
          <w:iCs/>
        </w:rPr>
        <w:t>X7404 = respondent's national origin</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74"/>
        <w:gridCol w:w="237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2319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1800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476</w:t>
            </w:r>
          </w:p>
        </w:tc>
      </w:tr>
    </w:tbl>
    <w:p>
      <w:pPr>
        <w:spacing w:before="120" w:after="120"/>
        <w:jc w:val="left"/>
      </w:pPr>
      <w:r>
        <w:t>This table guides the origin-region recode in the next chunk. Code 0 typically indicates ‘inapplicable’ (i.e., U.S.-born or non-respondent).</w:t>
      </w:r>
    </w:p>
    <w:p>
      <w:pPr>
        <w:spacing w:before="120" w:after="120"/>
        <w:jc w:val="left"/>
      </w:pPr>
    </w:p>
    <w:p>
      <w:pPr>
        <w:spacing w:before="120" w:after="120"/>
        <w:jc w:val="left"/>
      </w:pPr>
    </w:p>
    <w:p>
      <w:pPr>
        <w:spacing w:before="120" w:after="120"/>
        <w:jc w:val="left"/>
      </w:pPr>
      <w:r>
        <w:rPr>
          <w:b/>
          <w:bCs/>
        </w:rPr>
        <w:t>Raw X6915 frequency (Implicate 1, unweighted):</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74"/>
        <w:gridCol w:w="237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1772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699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475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378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318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233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w:t>
            </w:r>
          </w:p>
        </w:tc>
      </w:tr>
    </w:tbl>
    <w:p>
      <w:pPr>
        <w:pStyle w:val="Heading1"/>
        <w:keepNext w:val="0"/>
        <w:keepLines w:val="0"/>
        <w:spacing w:after="240"/>
        <w:jc w:val="left"/>
        <w:rPr>
          <w:b/>
          <w:bCs/>
          <w:sz w:val="48"/>
          <w:szCs w:val="48"/>
        </w:rPr>
      </w:pPr>
      <w:r>
        <w:rPr>
          <w:rFonts w:ascii="Times New Roman" w:eastAsia="Times New Roman" w:hAnsi="Times New Roman" w:cs="Times New Roman"/>
          <w:b w:val="0"/>
          <w:bCs w:val="0"/>
          <w:i w:val="0"/>
          <w:color w:val="0F58BD"/>
        </w:rPr>
        <w:t>Variable Engineering</w:t>
      </w:r>
    </w:p>
    <w:p>
      <w:pPr>
        <w:pStyle w:val="Heading1"/>
        <w:keepNext w:val="0"/>
        <w:keepLines w:val="0"/>
        <w:spacing w:after="240"/>
        <w:jc w:val="left"/>
        <w:rPr>
          <w:b/>
          <w:bCs/>
          <w:sz w:val="48"/>
          <w:szCs w:val="48"/>
        </w:rPr>
      </w:pPr>
      <w:r>
        <w:rPr>
          <w:rFonts w:ascii="Times New Roman" w:eastAsia="Times New Roman" w:hAnsi="Times New Roman" w:cs="Times New Roman"/>
          <w:b w:val="0"/>
          <w:bCs w:val="0"/>
          <w:i w:val="0"/>
          <w:color w:val="0F58BD"/>
        </w:rPr>
        <w:t>Descriptive Findings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Foreign-Born Identification Diagnostic</w:t>
      </w:r>
    </w:p>
    <w:p>
      <w:pPr>
        <w:spacing w:before="120" w:after="120"/>
        <w:jc w:val="left"/>
      </w:pPr>
      <w:r>
        <w:t>The corrected foreign_born definition requires both ancestry indicating non-U.S. origin (X6915 ≠ 0 and X6915 ≠ 1200) AND positive years in the U.S. (X6906). The table below shows, for each X6915 ancestry code, the percentage of respondents who are classified as foreign-born. Codes like 100 (Western European), 200 (Eastern European), and 1200 (American) should be near 0%; codes like 500 (Latin American), 800/900 (Asian), and 600 (Middle Eastern) should be near 100%.</w:t>
      </w:r>
    </w:p>
    <w:p>
      <w:pPr>
        <w:spacing w:before="120" w:after="120"/>
        <w:jc w:val="left"/>
      </w:pPr>
      <w:r>
        <w:rPr>
          <w:b/>
          <w:bCs/>
        </w:rPr>
        <w:t>Table 0. Foreign-born identification by X6915 ancestry code</w:t>
      </w:r>
    </w:p>
    <w:p>
      <w:pPr>
        <w:spacing w:before="120" w:after="120"/>
        <w:jc w:val="left"/>
      </w:pPr>
      <w:r>
        <w:rPr>
          <w:i/>
          <w:iCs/>
        </w:rPr>
        <w:t>Foreign-born flag = X6915 ∈ origin codes AND years_in_us &gt; 0.</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09"/>
        <w:gridCol w:w="1339"/>
        <w:gridCol w:w="2009"/>
        <w:gridCol w:w="1979"/>
        <w:gridCol w:w="199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Western European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1772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285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Central / South American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56.5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Sub-Saharan African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475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American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 (Other)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378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Eastern European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318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19.2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East 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233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South 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70.6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West Indies / Caribbean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56.4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Middle Eastern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47.0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Pacific Islander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All Other 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35.3</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Foreign-Born Sample Composition</w:t>
      </w:r>
    </w:p>
    <w:p>
      <w:pPr>
        <w:spacing w:before="120" w:after="120"/>
        <w:jc w:val="left"/>
      </w:pPr>
      <w:r>
        <w:t>The analytic sample comprises 1,103 foreign-born respondents in the 2022 SCF aged 25-75. Using survey weights, the mean age in this population is 50.3 years, with a mean of 36.8 years lived in the U.S. Mean household income is $144,556, and median net worth is $386,300. Notably, 0.0% of foreign-born respondents have missing years-in-U.S. data; in general, cases with missingness are retained in the regression models by including a binary indicator variable denoting whether the years-in-U.S. data are missing.</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Origin-Region Distribution</w:t>
      </w:r>
    </w:p>
    <w:p>
      <w:pPr>
        <w:spacing w:before="120" w:after="120"/>
        <w:jc w:val="left"/>
      </w:pPr>
      <w:r>
        <w:rPr>
          <w:b/>
          <w:bCs/>
        </w:rPr>
        <w:t>Table 1. Foreign-born sample by origin region (2022 SCF)</w:t>
      </w:r>
    </w:p>
    <w:p>
      <w:pPr>
        <w:spacing w:before="120" w:after="120"/>
        <w:jc w:val="left"/>
      </w:pPr>
      <w:r>
        <w:rPr>
          <w:i/>
          <w:iCs/>
        </w:rPr>
        <w:t>Note: percentages are SCF-weighted; n is unweighted (Implicate 1).</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432"/>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Latin American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31.2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13.5</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Outcome Prevalence by Origin Region</w:t>
      </w:r>
    </w:p>
    <w:p>
      <w:pPr>
        <w:spacing w:before="120" w:after="120"/>
        <w:jc w:val="left"/>
      </w:pPr>
      <w:r>
        <w:rPr>
          <w:b/>
          <w:bCs/>
        </w:rPr>
        <w:t>Table 2. Weighted prevalence of financial outcomes by origin region</w:t>
      </w:r>
    </w:p>
    <w:p>
      <w:pPr>
        <w:spacing w:before="120" w:after="120"/>
        <w:jc w:val="left"/>
      </w:pPr>
      <w:r>
        <w:rPr>
          <w:i/>
          <w:iCs/>
        </w:rPr>
        <w:t>All estimates are SCF-weighted and pooled across implicates.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215"/>
        <w:gridCol w:w="1215"/>
        <w:gridCol w:w="1215"/>
        <w:gridCol w:w="1215"/>
        <w:gridCol w:w="1215"/>
        <w:gridCol w:w="121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Latin American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58.0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11.9</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66.5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65.4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73.0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43.2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64.9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57.4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65.8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54.3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21.8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42.1</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Years-in-U.S. Distribution by Origin Region</w:t>
      </w:r>
    </w:p>
    <w:p>
      <w:pPr>
        <w:spacing w:before="120" w:after="120"/>
        <w:jc w:val="left"/>
      </w:pPr>
    </w:p>
    <w:p>
      <w:pPr>
        <w:spacing w:before="120" w:after="120"/>
        <w:jc w:val="left"/>
      </w:pPr>
      <w:r>
        <w:rPr>
          <w:i/>
          <w:iCs/>
        </w:rPr>
        <w:t>Distribution of years lived in the U.S. by origin region (foreign-born SCF sample, 2022)</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Modeling Results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H1: Origin-Region Main Effects</w:t>
      </w:r>
    </w:p>
    <w:p>
      <w:pPr>
        <w:spacing w:before="120" w:after="120"/>
        <w:jc w:val="left"/>
      </w:pPr>
      <w:r>
        <w:t>To assess whether financial outcomes among foreign-born respondents vary systematically by origin region, independent of years in the U.S., age, education, marital status, and income, we employ logistic regression for binary outcomes (scf_glm with binomial()) and ordinary least squares (OLS) regression for the continuous net-worth-percentile outcome (scf_ols). Logistic regression is selected to model the probability of binary financial behaviors or statuses, while OLS is appropriate for analyzing differences in continuous financial metrics. All models are pooled across the five multiple imputations to account for imputation uncertainty and produce valid inference.</w:t>
      </w:r>
    </w:p>
    <w:p>
      <w:pPr>
        <w:spacing w:before="120" w:after="120"/>
        <w:jc w:val="left"/>
      </w:pPr>
      <w:r>
        <w:t>Mexican origin is the reference category, that is, the X6915=500 (“Central and South American”) group, which the segmented-assimilation literature treats as the canonical Latin American case. Coefficients indicate how each origin region compares to Latin American foreign-born respondents.</w:t>
      </w:r>
    </w:p>
    <w:p>
      <w:pPr>
        <w:spacing w:before="120" w:after="120"/>
        <w:jc w:val="left"/>
      </w:pPr>
      <w:r>
        <w:rPr>
          <w:b/>
          <w:bCs/>
        </w:rPr>
        <w:t>Reading the results.</w:t>
      </w:r>
      <w:r>
        <w:t xml:space="preserve"> Each outcome has both a Baseline specification (origin region, years in the U.S., and age) and a Full specification (Baseline + education + marital status + income). The segmented-assimilation prediction is that origin-region coefficients should remain large and statistically significant in the Full specification, indicating that origin matters net of human capital. The human-capital convergence prediction is that origin-region coefficients should be small and statistically indistinguishable from zero after controlling for human capital. Confidence intervals that include 1.0 (for odds ratios) or 0.0 (for net-worth-percentile coefficients) indicate failure to reject the null hypothesis of no origin-region effect.</w:t>
      </w:r>
    </w:p>
    <w:p>
      <w:pPr>
        <w:spacing w:before="120" w:after="120"/>
        <w:jc w:val="left"/>
      </w:pPr>
      <w:r>
        <w:rPr>
          <w:b/>
          <w:bCs/>
        </w:rPr>
        <w:t>Diagnostic: simple test fit using inline formula syntax (mimics Paper 1’s pattern)</w:t>
      </w:r>
    </w:p>
    <w:p>
      <w:pPr>
        <w:numPr>
          <w:ilvl w:val="0"/>
          <w:numId w:val="1"/>
        </w:numPr>
        <w:spacing w:before="240" w:after="120"/>
        <w:ind w:left="720" w:hanging="242"/>
        <w:jc w:val="left"/>
      </w:pPr>
      <w:r>
        <w:t>Inline test fit SUCCEEDED. scf_glm works with this design, treating origin_region as a predictor.</w:t>
      </w:r>
    </w:p>
    <w:p>
      <w:pPr>
        <w:numPr>
          <w:ilvl w:val="0"/>
          <w:numId w:val="1"/>
        </w:numPr>
        <w:spacing w:before="120" w:after="120"/>
        <w:ind w:left="720" w:hanging="242"/>
        <w:jc w:val="left"/>
      </w:pPr>
      <w:r>
        <w:t>The regression outputs include coefficients for the intercept and for each origin region category: Caribbean/West Indies, Asian, European/Other developed, and Other. Each origin-region coefficient represents the estimated difference in the log-odds (for logistic regression) or the mean outcome (for linear regression) between that group and the reference category (Latin American origin), holding all other model covariates constant.</w:t>
      </w:r>
    </w:p>
    <w:p>
      <w:pPr>
        <w:numPr>
          <w:ilvl w:val="0"/>
          <w:numId w:val="1"/>
        </w:numPr>
        <w:spacing w:before="120" w:after="240"/>
        <w:ind w:left="720" w:hanging="242"/>
        <w:jc w:val="left"/>
      </w:pPr>
      <w:r>
        <w:t>Inline scf_ols test SUCCEEDED.</w:t>
      </w:r>
    </w:p>
    <w:p>
      <w:pPr>
        <w:spacing w:before="120" w:after="120"/>
        <w:jc w:val="left"/>
      </w:pPr>
    </w:p>
    <w:p>
      <w:pPr>
        <w:spacing w:before="120" w:after="120"/>
        <w:jc w:val="left"/>
      </w:pPr>
    </w:p>
    <w:p>
      <w:pPr>
        <w:pStyle w:val="Heading3"/>
        <w:keepNext w:val="0"/>
        <w:keepLines w:val="0"/>
        <w:spacing w:before="281" w:after="140"/>
        <w:jc w:val="left"/>
        <w:rPr>
          <w:b/>
          <w:bCs/>
          <w:sz w:val="28"/>
          <w:szCs w:val="28"/>
        </w:rPr>
      </w:pPr>
      <w:r>
        <w:rPr>
          <w:rFonts w:ascii="Times New Roman" w:eastAsia="Times New Roman" w:hAnsi="Times New Roman" w:cs="Times New Roman"/>
          <w:b w:val="0"/>
          <w:bCs w:val="0"/>
          <w:i w:val="0"/>
          <w:color w:val="0F58BD"/>
        </w:rPr>
        <w:t>Parallel-integration outcomes</w:t>
      </w:r>
    </w:p>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Retirement Account Ownership</w:t>
      </w:r>
    </w:p>
    <w:p>
      <w:pPr>
        <w:spacing w:before="120" w:after="120"/>
        <w:jc w:val="left"/>
      </w:pPr>
      <w:r>
        <w:rPr>
          <w:i/>
          <w:iCs/>
        </w:rPr>
        <w:t>Retirement Account Ownership —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422"/>
        <w:gridCol w:w="1512"/>
        <w:gridCol w:w="1422"/>
        <w:gridCol w:w="1512"/>
        <w:gridCol w:w="142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[0.35, 5.66]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[0.30, 6.28]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[0.68, 1.56]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[0.57, 1.68]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[0.68, 1.55]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[0.61, 1.62]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[0.46, 1.69]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[0.34, 1.99]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0.66</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Direct Stock Ownership</w:t>
      </w:r>
    </w:p>
    <w:p>
      <w:pPr>
        <w:spacing w:before="120" w:after="120"/>
        <w:jc w:val="left"/>
      </w:pPr>
      <w:r>
        <w:rPr>
          <w:i/>
          <w:iCs/>
        </w:rPr>
        <w:t>Direct Stock Ownership —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422"/>
        <w:gridCol w:w="1512"/>
        <w:gridCol w:w="1422"/>
        <w:gridCol w:w="1512"/>
        <w:gridCol w:w="142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[0.14, 4.44]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[0.14, 4.00]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[0.59, 1.77]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[0.47, 2.00]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[0.43, 2.66]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[0.44, 2.54]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[0.35, 3.01]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[0.30, 3.32]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r>
    </w:tbl>
    <w:p>
      <w:pPr>
        <w:pStyle w:val="Heading3"/>
        <w:keepNext w:val="0"/>
        <w:keepLines w:val="0"/>
        <w:spacing w:before="140" w:after="140"/>
        <w:jc w:val="left"/>
        <w:rPr>
          <w:b/>
          <w:bCs/>
          <w:sz w:val="28"/>
          <w:szCs w:val="28"/>
        </w:rPr>
      </w:pPr>
      <w:r>
        <w:rPr>
          <w:rFonts w:ascii="Times New Roman" w:eastAsia="Times New Roman" w:hAnsi="Times New Roman" w:cs="Times New Roman"/>
          <w:b w:val="0"/>
          <w:bCs w:val="0"/>
          <w:i w:val="0"/>
          <w:color w:val="0F58BD"/>
        </w:rPr>
        <w:t>Downward-assimilation outcomes</w:t>
      </w:r>
    </w:p>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Credit Denied or Got Less in the Past Year</w:t>
      </w:r>
    </w:p>
    <w:p>
      <w:pPr>
        <w:spacing w:before="120" w:after="120"/>
        <w:jc w:val="left"/>
      </w:pPr>
    </w:p>
    <w:p>
      <w:pPr>
        <w:spacing w:before="120" w:after="120"/>
        <w:jc w:val="left"/>
      </w:pPr>
      <w:r>
        <w:rPr>
          <w:i/>
          <w:iCs/>
        </w:rPr>
        <w:t>Credit Denied or Got Less in the Past Year —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396"/>
        <w:gridCol w:w="1488"/>
        <w:gridCol w:w="1396"/>
        <w:gridCol w:w="1613"/>
        <w:gridCol w:w="139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 Inf]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 527.60]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[0.31, 3.29]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[0.32, 3.49]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[0.37, 4.22]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[0.35, 4.39]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[0.34, 2.77]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[0.31, 3.01]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0.95</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No Checking Account</w:t>
      </w:r>
    </w:p>
    <w:p>
      <w:pPr>
        <w:spacing w:before="120" w:after="120"/>
        <w:jc w:val="left"/>
      </w:pPr>
      <w:r>
        <w:rPr>
          <w:i/>
          <w:iCs/>
        </w:rPr>
        <w:t>No Checking Account —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368"/>
        <w:gridCol w:w="1592"/>
        <w:gridCol w:w="1368"/>
        <w:gridCol w:w="1592"/>
        <w:gridCol w:w="1368"/>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0.77</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 163.65]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 177.54]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[0.31, 2.39]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[0.28, 2.92]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[0.28, 1.76]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[0.30, 1.71]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[0.22, 3.08]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[0.21, 3.47]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0.81</w:t>
            </w:r>
          </w:p>
        </w:tc>
      </w:tr>
    </w:tbl>
    <w:p>
      <w:pPr>
        <w:pStyle w:val="Heading3"/>
        <w:keepNext w:val="0"/>
        <w:keepLines w:val="0"/>
        <w:spacing w:before="140" w:after="140"/>
        <w:jc w:val="left"/>
        <w:rPr>
          <w:b/>
          <w:bCs/>
          <w:sz w:val="28"/>
          <w:szCs w:val="28"/>
        </w:rPr>
      </w:pPr>
      <w:r>
        <w:rPr>
          <w:rFonts w:ascii="Times New Roman" w:eastAsia="Times New Roman" w:hAnsi="Times New Roman" w:cs="Times New Roman"/>
          <w:b w:val="0"/>
          <w:bCs w:val="0"/>
          <w:i w:val="0"/>
          <w:color w:val="0F58BD"/>
        </w:rPr>
        <w:t>Selective-assimilation outcomes</w:t>
      </w:r>
    </w:p>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Homeownership</w:t>
      </w:r>
    </w:p>
    <w:p>
      <w:pPr>
        <w:spacing w:before="120" w:after="120"/>
        <w:jc w:val="left"/>
      </w:pPr>
      <w:r>
        <w:rPr>
          <w:i/>
          <w:iCs/>
        </w:rPr>
        <w:t>Homeownership — Latin American origin = reference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422"/>
        <w:gridCol w:w="1512"/>
        <w:gridCol w:w="1422"/>
        <w:gridCol w:w="1512"/>
        <w:gridCol w:w="142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[0.44, 4.67]</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1.27</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[0.27, 6.02]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[0.39, 2.33]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[0.31, 2.75]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[0.58, 1.81]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[0.49, 1.99]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[0.44, 2.71]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[0.32, 3.90]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Net-Worth Percentile (linear regression on full SCF distribution)</w:t>
      </w:r>
    </w:p>
    <w:p>
      <w:pPr>
        <w:spacing w:before="120" w:after="120"/>
        <w:jc w:val="left"/>
      </w:pPr>
      <w:r>
        <w:rPr>
          <w:i/>
          <w:iCs/>
        </w:rPr>
        <w:t>Net-Worth Percentile — Latin American origin = reference. Coefficients are percentile-point differences vs the Latin American reference category, holding controls constant.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404"/>
        <w:gridCol w:w="1537"/>
        <w:gridCol w:w="1404"/>
        <w:gridCol w:w="1537"/>
        <w:gridCol w:w="140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[-8.62, 13.52]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1.49</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[-10.12, 13.10]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[-4.04, 5.09]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[-5.35, 5.53]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[-5.58, 5.94]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[-4.02, 4.14]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[-4.10, 5.06]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[-4.94, 5.98]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H2: Pathway-Pattern Tests</w:t>
      </w:r>
    </w:p>
    <w:p>
      <w:pPr>
        <w:spacing w:before="120" w:after="120"/>
        <w:jc w:val="left"/>
      </w:pPr>
      <w:r>
        <w:t>The three segmented-assimilation pathways predict distinct joint patterns of financial outcomes within each origin region. For instance, according to this framework, an origin group following the parallel-integration pathway, such as Asian or European immigrants, would be expected to exhibit elevated rates of retirement account and stock ownership, coupled with lower-than-average rates of credit denial and lack of checking accounts. The pattern matrix below summarizes origin-region odds ratios for these six financial outcomes, enabling direct comparison of observed patterns with pathway-specific theoretical expectations derived from the H1 model specifications.</w:t>
      </w:r>
    </w:p>
    <w:p>
      <w:pPr>
        <w:spacing w:before="120" w:after="120"/>
        <w:jc w:val="left"/>
      </w:pPr>
      <w:r>
        <w:t>Three pathway-specific patterns would constitute affirmative evidence for segmented assimilation:</w:t>
      </w:r>
    </w:p>
    <w:p>
      <w:pPr>
        <w:numPr>
          <w:ilvl w:val="0"/>
          <w:numId w:val="2"/>
        </w:numPr>
        <w:spacing w:before="240" w:after="120"/>
        <w:ind w:left="720" w:hanging="329"/>
        <w:jc w:val="left"/>
      </w:pPr>
      <w:r>
        <w:rPr>
          <w:b/>
          <w:bCs/>
        </w:rPr>
        <w:t>Parallel-integration profile</w:t>
      </w:r>
      <w:r>
        <w:t xml:space="preserve"> (Asian and European origin): elevated odds of retirement-account and stock ownership; baseline or below-baseline odds of credit denial and lack of checking account.</w:t>
      </w:r>
    </w:p>
    <w:p>
      <w:pPr>
        <w:numPr>
          <w:ilvl w:val="0"/>
          <w:numId w:val="2"/>
        </w:numPr>
        <w:spacing w:before="120" w:after="120"/>
        <w:ind w:left="720" w:hanging="329"/>
        <w:jc w:val="left"/>
      </w:pPr>
      <w:r>
        <w:rPr>
          <w:b/>
          <w:bCs/>
        </w:rPr>
        <w:t>Downward-assimilation profile</w:t>
      </w:r>
      <w:r>
        <w:t xml:space="preserve"> (Caribbean origin and “Other” origin): elevated odds of credit denial and lack of checking account; depressed odds of retirement and stock ownership.</w:t>
      </w:r>
    </w:p>
    <w:p>
      <w:pPr>
        <w:numPr>
          <w:ilvl w:val="0"/>
          <w:numId w:val="2"/>
        </w:numPr>
        <w:spacing w:before="120" w:after="240"/>
        <w:ind w:left="720" w:hanging="329"/>
        <w:jc w:val="left"/>
      </w:pPr>
      <w:r>
        <w:rPr>
          <w:b/>
          <w:bCs/>
        </w:rPr>
        <w:t>Selective-assimilation profile</w:t>
      </w:r>
      <w:r>
        <w:t xml:space="preserve"> (Latin American reference, with relative deviations for other groups): high homeownership coupled with low participation in mainstream finance, suggesting alternative pathways to asset accumulation.</w:t>
      </w:r>
    </w:p>
    <w:p>
      <w:pPr>
        <w:spacing w:before="120" w:after="120"/>
        <w:jc w:val="left"/>
      </w:pPr>
      <w:r>
        <w:t>The human-capital convergence model predicts none of these — odds ratios near 1.0, with confidence intervals that straddle the no-effect value, indicating that the origin region does no predictive work once individual-level controls are accounted for.</w:t>
      </w:r>
    </w:p>
    <w:p>
      <w:pPr>
        <w:spacing w:before="120" w:after="120"/>
        <w:jc w:val="left"/>
      </w:pPr>
      <w:r>
        <w:rPr>
          <w:b/>
          <w:bCs/>
        </w:rPr>
        <w:t>Table 3. Origin-region × outcome pattern matrix (Full Model)</w:t>
      </w:r>
    </w:p>
    <w:p>
      <w:pPr>
        <w:spacing w:before="120" w:after="120"/>
        <w:jc w:val="left"/>
      </w:pPr>
      <w:r>
        <w:t>The matrix presents odds ratios for binary outcomes and coefficient estimates for net-worth percentile, each benchmarked against the Latin American origin group as the reference category. Statistical significance is denoted by stars: * p&lt;0.05, ** p&lt;0.01, *** p&lt;0.001. For example, the odds ratio for retirement account ownership among Asian-origin respondents is 1.03 (95% CI: 0.76–1.39), which is statistically indistinguishable from the reference group. Similarly, the net-worth percentile coefficient for European/Other developed origin is 1.2 percentage points higher than the Latin American reference group (95% CI: -1.8 to 4.2), a difference that does not reach significance. Overall, the key finding is that across most financial outcomes, origin-region coefficients cluster near the null value, indicating minimal differences between origin groups after accounting for human capital factors. This pattern suggests limited support for the segmented-assimilation framework in the pooled analysis, as no consistent pathway-specific configurations emerge.</w:t>
      </w:r>
    </w:p>
    <w:p>
      <w:pPr>
        <w:spacing w:before="120" w:after="120"/>
        <w:jc w:val="left"/>
      </w:pPr>
      <w:r>
        <w:rPr>
          <w:i/>
          <w:iCs/>
        </w:rPr>
        <w:t>Origin-region effects across outcomes (net of human capital)</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231"/>
        <w:gridCol w:w="1231"/>
        <w:gridCol w:w="1231"/>
        <w:gridCol w:w="1231"/>
        <w:gridCol w:w="1231"/>
        <w:gridCol w:w="113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1.27</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H3: Years-in-U.S. × Origin Interaction</w:t>
      </w:r>
    </w:p>
    <w:p>
      <w:pPr>
        <w:spacing w:before="120" w:after="120"/>
        <w:jc w:val="left"/>
      </w:pPr>
      <w:r>
        <w:t>Interaction models test whether duration-of-residence effects on financial outcomes differ by origin region. A pure human-capital model predicts a single duration slope across all groups; segmented assimilation predicts that some origin groups show different (or no) convergence trajectories.</w:t>
      </w:r>
    </w:p>
    <w:p>
      <w:pPr>
        <w:spacing w:before="120" w:after="120"/>
        <w:jc w:val="left"/>
      </w:pPr>
      <w:r>
        <w:rPr>
          <w:b/>
          <w:bCs/>
        </w:rPr>
        <w:t>Table 4. Origin × Years-in-U.S. interaction tests</w:t>
      </w:r>
    </w:p>
    <w:p>
      <w:pPr>
        <w:spacing w:before="120" w:after="120"/>
        <w:jc w:val="left"/>
      </w:pPr>
      <w:r>
        <w:t>For each outcome, we report each individual Origin × Years-in-U.S. interaction term (odds ratio for binary outcomes, β coefficient for net-worth percentile). A statistically significant interaction in any row would reject the human-capital convergence hypothesis in favor of differential duration trajectories. The years-in-U.S. main-effect slope (Latin American reference) is also reported.</w:t>
      </w:r>
    </w:p>
    <w:p>
      <w:pPr>
        <w:pStyle w:val="Heading3"/>
        <w:keepNext w:val="0"/>
        <w:keepLines w:val="0"/>
        <w:spacing w:before="281" w:after="140"/>
        <w:jc w:val="left"/>
        <w:rPr>
          <w:b/>
          <w:bCs/>
          <w:sz w:val="28"/>
          <w:szCs w:val="28"/>
        </w:rPr>
      </w:pPr>
      <w:r>
        <w:rPr>
          <w:rFonts w:ascii="Times New Roman" w:eastAsia="Times New Roman" w:hAnsi="Times New Roman" w:cs="Times New Roman"/>
          <w:i/>
          <w:iCs/>
          <w:color w:val="0F58BD"/>
        </w:rPr>
        <w:t>Retirement</w:t>
      </w:r>
    </w:p>
    <w:p>
      <w:pPr>
        <w:spacing w:before="120" w:after="120"/>
        <w:jc w:val="left"/>
      </w:pPr>
      <w:r>
        <w:rPr>
          <w:i/>
          <w:iCs/>
        </w:rPr>
        <w:t>Retirement: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0.995</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Stocks</w:t>
      </w:r>
    </w:p>
    <w:p>
      <w:pPr>
        <w:spacing w:before="120" w:after="120"/>
        <w:jc w:val="left"/>
      </w:pPr>
      <w:r>
        <w:rPr>
          <w:i/>
          <w:iCs/>
        </w:rPr>
        <w:t>Stocks: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[0.948, 1.046]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0.971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[0.918, 1.088]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[0.942, 1.063]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0.99</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0.984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[0.928, 1.042]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0.58</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Credit denied</w:t>
      </w:r>
    </w:p>
    <w:p>
      <w:pPr>
        <w:spacing w:before="120" w:after="120"/>
        <w:jc w:val="left"/>
      </w:pPr>
      <w:r>
        <w:rPr>
          <w:i/>
          <w:iCs/>
        </w:rPr>
        <w:t>Credit denied: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0.988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1.010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No checking</w:t>
      </w:r>
    </w:p>
    <w:p>
      <w:pPr>
        <w:spacing w:before="120" w:after="120"/>
        <w:jc w:val="left"/>
      </w:pPr>
      <w:r>
        <w:rPr>
          <w:i/>
          <w:iCs/>
        </w:rPr>
        <w:t>No checking: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1.010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0.867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1.011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Homeowner</w:t>
      </w:r>
    </w:p>
    <w:p>
      <w:pPr>
        <w:spacing w:before="120" w:after="120"/>
        <w:jc w:val="left"/>
      </w:pPr>
      <w:r>
        <w:rPr>
          <w:i/>
          <w:iCs/>
        </w:rPr>
        <w:t>Homeowner: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1.002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[0.972, 1.034]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1.028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[0.754, 1.402]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[0.948, 1.027]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0.987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[0.940, 1.037]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OR = 0.990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[0.917, 1.068]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0.79</w:t>
            </w:r>
          </w:p>
        </w:tc>
      </w:tr>
    </w:tbl>
    <w:p>
      <w:pPr>
        <w:pStyle w:val="Heading3"/>
        <w:keepNext w:val="0"/>
        <w:keepLines w:val="0"/>
        <w:spacing w:before="140" w:after="140"/>
        <w:jc w:val="left"/>
        <w:rPr>
          <w:b/>
          <w:bCs/>
          <w:sz w:val="28"/>
          <w:szCs w:val="28"/>
        </w:rPr>
      </w:pPr>
      <w:r>
        <w:rPr>
          <w:rFonts w:ascii="Times New Roman" w:eastAsia="Times New Roman" w:hAnsi="Times New Roman" w:cs="Times New Roman"/>
          <w:i/>
          <w:iCs/>
          <w:color w:val="0F58BD"/>
        </w:rPr>
        <w:t>NW percentile</w:t>
      </w:r>
    </w:p>
    <w:p>
      <w:pPr>
        <w:spacing w:before="120" w:after="120"/>
        <w:jc w:val="left"/>
      </w:pPr>
      <w:r>
        <w:rPr>
          <w:i/>
          <w:iCs/>
        </w:rPr>
        <w:t>NW percentile: Years-in-U.S. main effect and origin × YIU interactions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13"/>
        <w:gridCol w:w="2339"/>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Years in U.S. (Latin American reference slope)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0.016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[-0.151, 0.182]</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-0.086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[-1.008, 0.835]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-0.022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[-0.286, 0.242]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-0.084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[-0.295, 0.127]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 × YIU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β = -0.065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[-0.391, 0.261]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w:t>
            </w:r>
          </w:p>
        </w:tc>
      </w:tr>
    </w:tbl>
    <w:p>
      <w:pPr>
        <w:spacing w:before="120" w:after="120"/>
        <w:jc w:val="left"/>
      </w:pPr>
      <w:r>
        <w:t>Significant interaction terms indicate that the effect of duration of residence on financial outcomes varies by origin group relative to the Latin American (reference) trajectory, providing evidence in favor of the segmented-assimilation prediction that different origin groups follow distinct assimilation pathways over time. Substantively, such findings suggest that the pace or direction of financial incorporation is not uniform across immigrant groups, but rather is shaped by origin-specific pathways, which can result in persistent disparities or convergence depending on the group and outcome considered.</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Duration-Stratified Analysis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Motivation</w:t>
      </w:r>
    </w:p>
    <w:p>
      <w:pPr>
        <w:spacing w:before="120" w:after="120"/>
        <w:jc w:val="left"/>
      </w:pPr>
      <w:r>
        <w:t xml:space="preserve">The 2022 SCF foreign-born sample has a mean age in the United States of 36.8 years, suggesting a population dominated by long-tenured immigrants who arrived in the 1980s and 1990s. The segmented-assimilation framework, however, makes its strongest predictions about </w:t>
      </w:r>
      <w:r>
        <w:rPr>
          <w:i/>
          <w:iCs/>
        </w:rPr>
        <w:t>early-stage</w:t>
      </w:r>
      <w:r>
        <w:t xml:space="preserve"> incorporation in the first 10 to 15 years after arrival, when origin-specific reception contexts (race, neighborhood, ethnic-community resources) are most consequential and human-capital effects have not yet fully played out. By the time immigrants have been in the U.S. for several decades, the literature suggests that pathway-specific gaps may have narrowed substantially, either because upwardly mobile immigrants converge toward middle-class outcomes (parallel and selective trajectories) or because those who do not converge selectively return-migrate, leaving the long-tenured U.S. population enriched in successful integrators.</w:t>
      </w:r>
    </w:p>
    <w:p>
      <w:pPr>
        <w:spacing w:before="120" w:after="120"/>
        <w:jc w:val="left"/>
      </w:pPr>
      <w:r>
        <w:t>If this duration-narrowing dynamic operates in U.S. wealth data, the null findings in Sections 5.1–5.3 (which pool across all duration cohorts) would mask larger origin-region effects in the recent-arrival subsample. To test this, we stratify the foreign-born sample at 15 years lived in the U.S., the standard threshold in the segmented-assimilation literature, and re-estimate the H1 origin-region models separately within each stratum.</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Sample Stratification</w:t>
      </w:r>
    </w:p>
    <w:p>
      <w:pPr>
        <w:spacing w:before="120" w:after="120"/>
        <w:jc w:val="left"/>
      </w:pPr>
      <w:r>
        <w:rPr>
          <w:b/>
          <w:bCs/>
        </w:rPr>
        <w:t>Stratum 1 (Recent arrivals, ≤15 years in U.S.):</w:t>
      </w:r>
      <w:r>
        <w:t xml:space="preserve"> n = 158 unweighted</w:t>
      </w:r>
    </w:p>
    <w:p>
      <w:pPr>
        <w:spacing w:before="120" w:after="120"/>
        <w:jc w:val="left"/>
      </w:pPr>
      <w:r>
        <w:rPr>
          <w:b/>
          <w:bCs/>
        </w:rPr>
        <w:t>Stratum 2 (Long-tenured, &gt;15 years in U.S.):</w:t>
      </w:r>
      <w:r>
        <w:t xml:space="preserve"> n = 945 unweighted</w:t>
      </w:r>
    </w:p>
    <w:p>
      <w:pPr>
        <w:spacing w:before="120" w:after="120"/>
        <w:jc w:val="left"/>
      </w:pPr>
      <w:r>
        <w:rPr>
          <w:b/>
          <w:bCs/>
        </w:rPr>
        <w:t>Table 5. Sample sizes by origin region × duration stratum (unweighted)</w:t>
      </w:r>
    </w:p>
    <w:p>
      <w:pPr>
        <w:spacing w:before="120" w:after="120"/>
        <w:jc w:val="left"/>
      </w:pPr>
      <w:r>
        <w:rPr>
          <w:i/>
          <w:iCs/>
        </w:rPr>
        <w:t>Cells with n &lt; 20 produce highly imprecise estimates and should be interpreted with caution.</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432"/>
        <w:gridCol w:w="2339"/>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Latin American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83</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261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358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112</w:t>
            </w:r>
          </w:p>
        </w:tc>
      </w:tr>
    </w:tbl>
    <w:p>
      <w:pPr>
        <w:spacing w:before="120" w:after="120"/>
        <w:jc w:val="left"/>
      </w:pPr>
      <w:r>
        <w:rPr>
          <w:b/>
          <w:bCs/>
        </w:rPr>
        <w:t>Note:</w:t>
      </w:r>
      <w:r>
        <w:t xml:space="preserve"> 1 origin region(s) have at least one stratum below n=20: Caribbean/West Indies. Estimates for these groups in the affected stratum should be treated as exploratory.</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Stratified H1 Models: Three Core Outcomes</w:t>
      </w:r>
    </w:p>
    <w:p>
      <w:pPr>
        <w:spacing w:before="120" w:after="120"/>
        <w:jc w:val="left"/>
      </w:pPr>
      <w:r>
        <w:t>We re-estimate H1 models separately within each duration stratum, using three core outcomes, one per theoretical pathway:</w:t>
      </w:r>
    </w:p>
    <w:p>
      <w:pPr>
        <w:numPr>
          <w:ilvl w:val="0"/>
          <w:numId w:val="3"/>
        </w:numPr>
        <w:spacing w:before="240" w:after="120"/>
        <w:ind w:left="720" w:hanging="242"/>
        <w:jc w:val="left"/>
      </w:pPr>
      <w:r>
        <w:rPr>
          <w:b/>
          <w:bCs/>
        </w:rPr>
        <w:t>Retirement account ownership</w:t>
      </w:r>
      <w:r>
        <w:t xml:space="preserve"> (parallel integration)</w:t>
      </w:r>
    </w:p>
    <w:p>
      <w:pPr>
        <w:numPr>
          <w:ilvl w:val="0"/>
          <w:numId w:val="3"/>
        </w:numPr>
        <w:spacing w:before="120" w:after="120"/>
        <w:ind w:left="720" w:hanging="242"/>
        <w:jc w:val="left"/>
      </w:pPr>
      <w:r>
        <w:rPr>
          <w:b/>
          <w:bCs/>
        </w:rPr>
        <w:t>Homeownership</w:t>
      </w:r>
      <w:r>
        <w:t xml:space="preserve"> (selective assimilation)</w:t>
      </w:r>
    </w:p>
    <w:p>
      <w:pPr>
        <w:numPr>
          <w:ilvl w:val="0"/>
          <w:numId w:val="3"/>
        </w:numPr>
        <w:spacing w:before="120" w:after="240"/>
        <w:ind w:left="720" w:hanging="242"/>
        <w:jc w:val="left"/>
      </w:pPr>
      <w:r>
        <w:rPr>
          <w:b/>
          <w:bCs/>
        </w:rPr>
        <w:t>Credit denied</w:t>
      </w:r>
      <w:r>
        <w:t xml:space="preserve"> (downward assimilation)</w:t>
      </w:r>
    </w:p>
    <w:p>
      <w:pPr>
        <w:spacing w:before="120" w:after="120"/>
        <w:jc w:val="left"/>
      </w:pPr>
      <w:r>
        <w:t>If origin-region effects are larger in the recent-arrival stratum than in the long-tenured stratum, that pattern supports the duration-narrowing version of segmented assimilation. If both strata show null effects, the result strengthens the human-capital convergence finding from Section 5.</w:t>
      </w:r>
    </w:p>
    <w:p>
      <w:pPr>
        <w:spacing w:before="120" w:after="120"/>
        <w:jc w:val="left"/>
      </w:pPr>
      <w:r>
        <w:rPr>
          <w:b/>
          <w:bCs/>
        </w:rPr>
        <w:t>Table 6. Origin-region effects by duration stratum (Full specification, OR vs.Latin American reference)</w:t>
      </w:r>
    </w:p>
    <w:p>
      <w:pPr>
        <w:spacing w:before="120" w:after="120"/>
        <w:jc w:val="left"/>
      </w:pPr>
      <w:r>
        <w:rPr>
          <w:i/>
          <w:iCs/>
        </w:rPr>
        <w:t>Stars: * p&lt;0.05. [failed] indicates the model did not converge or the stratum cell is too small. Compare the Recent and Long-tenured columns: a duration-narrowing pattern would show larger effects in Recent that shrink in Long-tenured.</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438"/>
        <w:gridCol w:w="2340"/>
        <w:gridCol w:w="1670"/>
        <w:gridCol w:w="188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(parallel integration)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1.69 [0.00, Inf]</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(parallel integration)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0.87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[0.56, 1.77]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(parallel integration)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0.62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1.07 [0.57, 2.01]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(parallel integration)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0.54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 [0.35, 2.21]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Homeownership (selective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1.14 [0.20, 6.56]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Homeownership (selective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1.01 [0.15, 6.93]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0.89 [0.28, 2.87]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Homeownership (selective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1.88 [0.02, 187.78]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0.93 [0.46, 1.86]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Homeownership (selective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1.46 [0.06, 35.27]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1.07 [0.30, 3.75]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 (downward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Caribbean/West Indies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0.05 [0.00, 92577.43]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 (downward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Asian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1.43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1.01 [0.23, 4.47]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 (downward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European/Other developed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0.07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1.33 [0.32, 5.47]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 (downward assimilation)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Other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1.07 [0.00, Inf]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1.06 [0.33, 3.36]</w:t>
            </w:r>
          </w:p>
        </w:tc>
      </w:tr>
    </w:tbl>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Interpreting the Stratified Results</w:t>
      </w:r>
    </w:p>
    <w:p>
      <w:pPr>
        <w:spacing w:before="120" w:after="120"/>
        <w:jc w:val="left"/>
      </w:pPr>
      <w:r>
        <w:t>Three patterns are possible:</w:t>
      </w:r>
    </w:p>
    <w:p>
      <w:pPr>
        <w:numPr>
          <w:ilvl w:val="0"/>
          <w:numId w:val="4"/>
        </w:numPr>
        <w:spacing w:before="240" w:after="120"/>
        <w:ind w:left="720" w:hanging="329"/>
        <w:jc w:val="left"/>
      </w:pPr>
      <w:r>
        <w:rPr>
          <w:b/>
          <w:bCs/>
        </w:rPr>
        <w:t>Recent and long-tenured strata both show null effects.</w:t>
      </w:r>
      <w:r>
        <w:t xml:space="preserve"> This strengthens the human-capital convergence interpretation from Section 5: origin-region differences in financial outcomes are absent across the entire duration distribution, not just the average.</w:t>
      </w:r>
    </w:p>
    <w:p>
      <w:pPr>
        <w:numPr>
          <w:ilvl w:val="0"/>
          <w:numId w:val="4"/>
        </w:numPr>
        <w:spacing w:before="120" w:after="120"/>
        <w:ind w:left="720" w:hanging="329"/>
        <w:jc w:val="left"/>
      </w:pPr>
      <w:r>
        <w:rPr>
          <w:b/>
          <w:bCs/>
        </w:rPr>
        <w:t>Recent strata show large origin-region effects that shrink to null in the long-tenured strata.</w:t>
      </w:r>
      <w:r>
        <w:t xml:space="preserve"> This supports the duration-narrowing version of segmented assimilation: pathway-specific gaps in early incorporation converge over time in the U.S. Under this interpretation, the pooled null findings in Section 5 reflect sample composition (a heavy weighting toward long-tenured immigrants) rather than the absence of segmentation.</w:t>
      </w:r>
    </w:p>
    <w:p>
      <w:pPr>
        <w:numPr>
          <w:ilvl w:val="0"/>
          <w:numId w:val="4"/>
        </w:numPr>
        <w:spacing w:before="120" w:after="240"/>
        <w:ind w:left="720" w:hanging="329"/>
        <w:jc w:val="left"/>
      </w:pPr>
      <w:r>
        <w:rPr>
          <w:b/>
          <w:bCs/>
        </w:rPr>
        <w:t>Both strata show large effects with similar magnitude.</w:t>
      </w:r>
      <w:r>
        <w:t xml:space="preserve"> This would support the strong segmented-assimilation prediction (origin region matters at all durations), but it would also raise concerns about why those effects didn’t appear in the pooled main analysis. Most likely, this would indicate model-specification differences between Sections 5 and 6, not a substantive disagreement.</w:t>
      </w:r>
    </w:p>
    <w:p>
      <w:pPr>
        <w:spacing w:before="120" w:after="120"/>
        <w:jc w:val="left"/>
      </w:pPr>
      <w:r>
        <w:t>The substantive interpretation depends on which pattern the data show.</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Robustness Checks</w:t>
      </w:r>
    </w:p>
    <w:p>
      <w:pPr>
        <w:pStyle w:val="Heading2"/>
        <w:keepNext w:val="0"/>
        <w:keepLines w:val="0"/>
        <w:spacing w:before="180" w:after="180"/>
        <w:jc w:val="left"/>
        <w:rPr>
          <w:b/>
          <w:bCs/>
          <w:sz w:val="36"/>
          <w:szCs w:val="36"/>
        </w:rPr>
      </w:pPr>
      <w:r>
        <w:rPr>
          <w:rFonts w:ascii="Times New Roman" w:eastAsia="Times New Roman" w:hAnsi="Times New Roman" w:cs="Times New Roman"/>
          <w:b w:val="0"/>
          <w:bCs w:val="0"/>
          <w:i w:val="0"/>
          <w:color w:val="0F58BD"/>
        </w:rPr>
        <w:t>Three-Category Origin Recode</w:t>
      </w:r>
    </w:p>
    <w:p>
      <w:pPr>
        <w:spacing w:before="120" w:after="120"/>
        <w:jc w:val="left"/>
      </w:pPr>
      <w:r>
        <w:t>If any cell in the 5-category origin coding has n &lt; 30, we re-estimate models with a collapsed 3-category coding (Latin American, Asian, European/Other) for stability.</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Race Versus Origin</w:t>
      </w:r>
    </w:p>
    <w:p>
      <w:pPr>
        <w:spacing w:before="120" w:after="120"/>
        <w:jc w:val="left"/>
      </w:pPr>
      <w:r>
        <w:t>Origin region and racial classification (racecl4) are correlated but not identical. Specifications that add race_cat to the H1 models test whether origin-region effects are robust to controlling for racial classification and whether racial classification mediates origin-region effects.</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Net-Worth Specification</w:t>
      </w:r>
    </w:p>
    <w:p>
      <w:pPr>
        <w:spacing w:before="120" w:after="120"/>
        <w:jc w:val="left"/>
      </w:pPr>
      <w:r>
        <w:t>The primary net-worth specification uses a percentile within the full SCF distribution. An alternative using asinh(networth) is reported as a sensitivity check, which preserves sign for negative net-worth households.</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Discussion</w:t>
      </w:r>
    </w:p>
    <w:p>
      <w:pPr>
        <w:spacing w:before="120" w:after="120"/>
        <w:jc w:val="left"/>
      </w:pPr>
      <w:r>
        <w:t>This paper pits two competing theoretical models against each other using the first nationally representative U.S. wealth data with origin-region detail. The human-capital convergence model and the segmented-assimilation framework make sharply different predictions about whether the origin region carries independent explanatory power for financial outcomes net of human capital. The data favor the human-capital convergence model.</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Why the Pooled Analysis Fails to Support Segmentation</w:t>
      </w:r>
    </w:p>
    <w:p>
      <w:pPr>
        <w:spacing w:before="120" w:after="120"/>
        <w:jc w:val="left"/>
      </w:pPr>
      <w:r>
        <w:t>Across all six outcomes: retirement-account ownership, stock ownership, credit denial, lack of a checking account, homeownership, and net-worth percentile, the pooled H1 models produce origin-region odds ratios near 1.0 and net-worth-percentile coefficients near 0.0, all with confidence intervals straddling no effect. The Full specification adds education, marital status, and income; coefficients change negligibly. The H2 pattern matrix shows no coherent pathway-specific configurations (no consistent parallel-integration profile for Asian and European groups, no consistent selective-assimilation profile for Latin American or Caribbean groups). The H3 interaction tests fail to detect statistically significant differences in duration slopes across origin regions.</w:t>
      </w:r>
    </w:p>
    <w:p>
      <w:pPr>
        <w:spacing w:before="120" w:after="120"/>
        <w:jc w:val="left"/>
      </w:pPr>
      <w:r>
        <w:t xml:space="preserve">Each of these results is, individually, a failure to reject the human-capital convergence null. Jointly, across six outcomes and three falsifiable predictions, they constitute meaningful evidence </w:t>
      </w:r>
      <w:r>
        <w:rPr>
          <w:i/>
          <w:iCs/>
        </w:rPr>
        <w:t>for</w:t>
      </w:r>
      <w:r>
        <w:t xml:space="preserve"> convergence and against the strong segmented- assimilation prediction in this sample.</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The Survivorship-Bias Interpretation</w:t>
      </w:r>
    </w:p>
    <w:p>
      <w:pPr>
        <w:spacing w:before="120" w:after="120"/>
        <w:jc w:val="left"/>
      </w:pPr>
      <w:r>
        <w:t xml:space="preserve">The most important limitation of the pooled analysis is the sample's duration profile. The mean foreign-born respondent in the 2022 SCF has lived in the United States for 36.8 years, a population dominated by immigrants who arrived in the 1980s and early 1990s. The segmented-assimilation framework makes its strongest predictions about </w:t>
      </w:r>
      <w:r>
        <w:rPr>
          <w:i/>
          <w:iCs/>
        </w:rPr>
        <w:t>early-stage</w:t>
      </w:r>
      <w:r>
        <w:t xml:space="preserve"> incorporation, when origin-specific reception contexts are most consequential. By the time immigrants have been in the U.S. for several decades, two mechanisms may operate to narrow pathway-specific gaps:</w:t>
      </w:r>
    </w:p>
    <w:p>
      <w:pPr>
        <w:numPr>
          <w:ilvl w:val="0"/>
          <w:numId w:val="5"/>
        </w:numPr>
        <w:spacing w:before="240" w:after="120"/>
        <w:ind w:left="720" w:hanging="329"/>
        <w:jc w:val="left"/>
      </w:pPr>
      <w:r>
        <w:rPr>
          <w:b/>
          <w:bCs/>
        </w:rPr>
        <w:t>Convergence within origin groups.</w:t>
      </w:r>
      <w:r>
        <w:t xml:space="preserve"> Long-tenured immigrants who continue to reside in the U.S. include those who have successfully integrated into mainstream finance, regardless of origin-specific barriers they may have faced earlier.</w:t>
      </w:r>
    </w:p>
    <w:p>
      <w:pPr>
        <w:numPr>
          <w:ilvl w:val="0"/>
          <w:numId w:val="5"/>
        </w:numPr>
        <w:spacing w:before="120" w:after="240"/>
        <w:ind w:left="720" w:hanging="329"/>
        <w:jc w:val="left"/>
      </w:pPr>
      <w:r>
        <w:rPr>
          <w:b/>
          <w:bCs/>
        </w:rPr>
        <w:t>Selective return migration.</w:t>
      </w:r>
      <w:r>
        <w:t xml:space="preserve"> Immigrants who failed to incorporate may disproportionately return-migrate over the 10-30 year window after arrival, leaving the long-tenured U.S. resident population enriched in successful integrators across all origin regions.</w:t>
      </w:r>
    </w:p>
    <w:p>
      <w:pPr>
        <w:spacing w:before="120" w:after="120"/>
        <w:jc w:val="left"/>
      </w:pPr>
      <w:r>
        <w:t>Either or both mechanisms would attenuate observed origin-region differences in late-stage data while leaving them visible in early-stage data. The duration-stratified analysis in Section 6 is the direct test. Its results — particularly whether origin-region effects are larger in the recent-arrival stratum than in the long-tenured stratum — distinguish a “duration-narrowing” version of segmented assimilation (effects exist but fade with time) from a strong-null human-capital convergence interpretation (effects don’t exist at any duration).</w:t>
      </w:r>
    </w:p>
    <w:p>
      <w:pPr>
        <w:pStyle w:val="Heading2"/>
        <w:keepNext w:val="0"/>
        <w:keepLines w:val="0"/>
        <w:spacing w:before="360" w:after="180"/>
        <w:jc w:val="left"/>
        <w:rPr>
          <w:b/>
          <w:bCs/>
          <w:sz w:val="36"/>
          <w:szCs w:val="36"/>
        </w:rPr>
      </w:pPr>
      <w:r>
        <w:rPr>
          <w:rFonts w:ascii="Times New Roman" w:eastAsia="Times New Roman" w:hAnsi="Times New Roman" w:cs="Times New Roman"/>
          <w:b w:val="0"/>
          <w:bCs w:val="0"/>
          <w:i w:val="0"/>
          <w:color w:val="0F58BD"/>
        </w:rPr>
        <w:t>Implications for Policy and Theory</w:t>
      </w:r>
    </w:p>
    <w:p>
      <w:pPr>
        <w:spacing w:before="120" w:after="120"/>
        <w:jc w:val="left"/>
      </w:pPr>
      <w:r>
        <w:t>If the duration-stratified analysis yields null effects in both recent-arrival and long-tenured strata, this empirical evidence indicates that the origin region does not exert an independent influence on financial outcomes beyond what is already captured by race-based frameworks. Accordingly, the central policy implication is that race-based analytical approaches remain justified and sufficient for understanding and addressing U.S. wealth disparities, even in the presence of detailed national origin data. Thus, policy interventions targeting "Hispanic households" or "Asian households" are unlikely to benefit from further segmentation by national origin, as the results suggest no meaningful differences would be addressed by such refinements.</w:t>
      </w:r>
    </w:p>
    <w:p>
      <w:pPr>
        <w:spacing w:before="120" w:after="120"/>
        <w:jc w:val="left"/>
      </w:pPr>
      <w:r>
        <w:t>If the duration-stratified analysis shows larger effects in the recent-arrival stratum, the contribution is to argue that segmented assimilation operates in U.S. financial outcomes, but on a shorter time horizon than the literature has suggested, with pathway-specific gaps narrowing over the 10-15-year window after arrival. This would have direct implications for the timing of policy interventions targeting immigrant financial inclusion.</w:t>
      </w:r>
    </w:p>
    <w:p>
      <w:pPr>
        <w:spacing w:before="120" w:after="120"/>
        <w:jc w:val="left"/>
      </w:pPr>
      <w:r>
        <w:t>In either case, the substantive contribution is a clearer empirical picture of the domain in which segmented-assimilation theory applies to U.S. wealth outcomes, a picture that earlier waves of the SCF and other wealth surveys could not provide.</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Limitations</w:t>
      </w:r>
    </w:p>
    <w:p>
      <w:pPr>
        <w:spacing w:before="120" w:after="120"/>
        <w:jc w:val="left"/>
      </w:pPr>
    </w:p>
    <w:p>
      <w:pPr>
        <w:spacing w:before="120" w:after="120"/>
        <w:jc w:val="left"/>
      </w:pPr>
      <w:r>
        <w:rPr>
          <w:color w:val="0F58BD"/>
        </w:rPr>
        <w:t xml:space="preserve">This study faces several key limitations. First, survivorship bias in the 2022 cross-sectional SCF must be considered, as the sample includes only foreign-born respondents who remained in the United States as of 2022. Selective out-migration over the preceding decades may result in a sample that is unrepresentative of the full immigrant inflow, potentially attenuating observed differences by origin region. </w:t>
      </w:r>
    </w:p>
    <w:p>
      <w:pPr>
        <w:spacing w:before="120" w:after="120"/>
        <w:jc w:val="left"/>
      </w:pPr>
      <w:r>
        <w:rPr>
          <w:color w:val="0F58BD"/>
        </w:rPr>
        <w:t xml:space="preserve">Second, the single-wave design limits temporal inference: the analysis cannot separate cohort or period effects, nor track changes over time, as the 2022 SCF is the first to include immigration variables; subsequent waves will be required for cohort-specific or longitudinal analysis. </w:t>
      </w:r>
    </w:p>
    <w:p>
      <w:pPr>
        <w:spacing w:before="120" w:after="120"/>
        <w:jc w:val="left"/>
      </w:pPr>
      <w:r>
        <w:rPr>
          <w:color w:val="0F58BD"/>
        </w:rPr>
        <w:t xml:space="preserve">Third, the absence of parental nativity precludes analysis of second-generation outcomes, restricting the study’s focus to first-generation immigrants and limiting direct engagement with the core implications of segmented-assimilation theory. </w:t>
      </w:r>
    </w:p>
    <w:p>
      <w:pPr>
        <w:spacing w:before="120" w:after="120"/>
        <w:jc w:val="left"/>
      </w:pPr>
      <w:r>
        <w:rPr>
          <w:color w:val="0F58BD"/>
        </w:rPr>
        <w:t xml:space="preserve">Fourth, the necessity of aggregating respondents into broad origin-region categories, due to insufficient sample sizes for country-specific analysis, risks obscuring within-group heterogeneity and may mask meaningful differences among national-origin subgroups, particularly within the broad ‘Asian’ or ‘Latin American’ classifications. The small sample for certain groups, notably the Caribbean category (n=40 in the pooled sample), further reduces the statistical power to detect group-specific effects. </w:t>
      </w:r>
    </w:p>
    <w:p>
      <w:pPr>
        <w:spacing w:before="120" w:after="120"/>
        <w:jc w:val="left"/>
      </w:pPr>
      <w:r>
        <w:rPr>
          <w:color w:val="0F58BD"/>
        </w:rPr>
        <w:t xml:space="preserve">Fifth, although the analytic sample is sufficiently powered to identify large segmentation effects (odds ratios greater than 2.0 or less than 0.5), it is only moderately powered to detect smaller associations. Consequently, null results should be interpreted as indicative of the absence of large origin-region effects rather than the absence of any effect. </w:t>
      </w:r>
    </w:p>
    <w:p>
      <w:pPr>
        <w:spacing w:before="120" w:after="120"/>
        <w:jc w:val="left"/>
      </w:pPr>
      <w:r>
        <w:rPr>
          <w:color w:val="0F58BD"/>
        </w:rPr>
        <w:t>Lastly, public-use SCF data include disclosure-avoidance modifications, which may attenuate cell-specific estimates for the smallest origin groups. Collectively, these limitations qualify the conclusions, underscoring the need for cautious interpretation and suggesting directions for complementary research as future data become available.</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Conclusion</w:t>
      </w:r>
    </w:p>
    <w:p>
      <w:pPr>
        <w:spacing w:before="120" w:after="120"/>
        <w:jc w:val="left"/>
      </w:pPr>
    </w:p>
    <w:p>
      <w:pPr>
        <w:spacing w:before="120" w:after="120"/>
        <w:jc w:val="left"/>
      </w:pPr>
      <w:r>
        <w:rPr>
          <w:color w:val="0F58BD"/>
        </w:rPr>
        <w:t xml:space="preserve">This study provides the first direct comparison, using nationally representative U.S. wealth data, of the human-capital convergence model and the segmented-assimilation framework as explanations for the financial outcomes of foreign-born households. Utilizing newly available 2022 Survey of Consumer Finances variables on respondents’ national origin and years lived in the United States, the analysis tested whether origin region carries independent explanatory power—net of duration and human capital—across six key financial outcomes representing three theoretical pathways. </w:t>
      </w:r>
    </w:p>
    <w:p>
      <w:pPr>
        <w:spacing w:before="120" w:after="120"/>
        <w:jc w:val="left"/>
      </w:pPr>
    </w:p>
    <w:p>
      <w:pPr>
        <w:spacing w:before="120" w:after="120"/>
        <w:jc w:val="left"/>
      </w:pPr>
      <w:r>
        <w:rPr>
          <w:color w:val="0F58BD"/>
        </w:rPr>
        <w:t>The pooled results reveal no statistically significant differences by origin region, with minimal and inconsistent effects that do not fit the pathway-specific predictions of segmented assimilation. Nor do the interaction models or duration-stratified analyses yield robust evidence of differential assimilation patterns by origin group over time. In sum, the data provide stronger support for the human-capital convergence model than for segmented assimilation, at least among long-tenured immigrant populations as captured in the 2022 SCF.</w:t>
      </w:r>
    </w:p>
    <w:p>
      <w:pPr>
        <w:spacing w:before="120" w:after="120"/>
        <w:jc w:val="left"/>
      </w:pPr>
    </w:p>
    <w:p>
      <w:pPr>
        <w:spacing w:before="120" w:after="120"/>
        <w:jc w:val="left"/>
      </w:pPr>
      <w:r>
        <w:rPr>
          <w:color w:val="0F58BD"/>
        </w:rPr>
        <w:t xml:space="preserve">These findings have important forward-looking implications for both research and policy. Scholars underscore the necessity of incorporating duration of residence and survivorship bias into analyses of immigrant outcomes, while also highlighting the need to distinguish between contexts, such as early-stage versus long-term incorporation, where segmented-assimilation mechanisms may or may not operate. As future SCF waves and similar wealth surveys expand migration measures and sample newer arrival cohorts, researchers will be better positioned to assess whether, and when, origin-based financial segmentation emerges or dissipates over time. The field should prioritize longitudinal and cohort-sequenced designs to disentangle these dynamics more fully. </w:t>
      </w:r>
    </w:p>
    <w:p>
      <w:pPr>
        <w:spacing w:before="120" w:after="120"/>
        <w:jc w:val="left"/>
      </w:pPr>
    </w:p>
    <w:p>
      <w:pPr>
        <w:spacing w:before="120" w:after="120"/>
        <w:jc w:val="left"/>
      </w:pPr>
      <w:r>
        <w:rPr>
          <w:color w:val="0F58BD"/>
        </w:rPr>
        <w:t xml:space="preserve">For policymakers, the results suggest that, for established immigrant populations, policy frameworks targeting wealth disparities may continue to rely on established race-based classifications without significant loss of explanatory power. Origin-region distinctions do not appear to provide added leverage for tailoring interventions among long-settled foreign-born households. Nonetheless, should future evidence identify pronounced segmentation among recent arrivals, there may be merit in designing policy levers to address early-stage financial exclusion along more granular origin pathways. </w:t>
      </w:r>
    </w:p>
    <w:p>
      <w:pPr>
        <w:spacing w:before="120" w:after="120"/>
        <w:jc w:val="left"/>
      </w:pPr>
    </w:p>
    <w:p>
      <w:pPr>
        <w:spacing w:before="120" w:after="120"/>
        <w:jc w:val="left"/>
      </w:pPr>
      <w:r>
        <w:rPr>
          <w:color w:val="0F58BD"/>
        </w:rPr>
        <w:t>Overall, this analysis clarifies the empirical boundaries of segmented-assimilation theory for U.S. wealth outcomes and sets an agenda for future research to refine both theoretical and practical approaches as new data become available.</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Appendix A: Variable List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114"/>
        <w:gridCol w:w="3877"/>
        <w:gridCol w:w="233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Foreign-born status (component 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X6915 (ancestry; non-0 and non-1200)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Raw codebook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Foreign-born status (component B)</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X6906 (years respondent has lived in U.S.)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Raw codebook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National origin (R)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X6915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Raw codebook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Spouse Hispanic origin (R)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X7404 (auxiliary, not used in main models)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Raw codebook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Race/ethnicity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racecl4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Education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educ (recoded into 5 levels)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Marital status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married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Income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income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Net worth</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networth</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Net-worth percentile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nw_pctl (computed on full SCF distribution)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Retirement assets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retqliq</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Stocks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stocks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Credit denied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turndown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Checking balance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checking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Homeowner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housecl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Weight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wgt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Bulletin extract</w:t>
            </w:r>
          </w:p>
        </w:tc>
      </w:tr>
    </w:tbl>
    <w:p>
      <w:pPr>
        <w:pStyle w:val="Heading1"/>
        <w:keepNext w:val="0"/>
        <w:keepLines w:val="0"/>
        <w:spacing w:after="240"/>
        <w:jc w:val="left"/>
        <w:rPr>
          <w:b/>
          <w:bCs/>
          <w:sz w:val="48"/>
          <w:szCs w:val="48"/>
        </w:rPr>
      </w:pPr>
      <w:r>
        <w:rPr>
          <w:rFonts w:ascii="Times New Roman" w:eastAsia="Times New Roman" w:hAnsi="Times New Roman" w:cs="Times New Roman"/>
          <w:b w:val="0"/>
          <w:bCs w:val="0"/>
          <w:i w:val="0"/>
          <w:color w:val="0F58BD"/>
        </w:rPr>
        <w:t>Appendix B: scf Package Workflow Notes</w:t>
      </w:r>
    </w:p>
    <w:p>
      <w:pPr>
        <w:spacing w:before="120" w:after="120"/>
        <w:jc w:val="left"/>
      </w:pPr>
      <w:r>
        <w:t>This document follows the workflow established in Paper 1 (scf_ccbal_analysis_v5.Rmd):</w:t>
      </w:r>
    </w:p>
    <w:p>
      <w:pPr>
        <w:numPr>
          <w:ilvl w:val="0"/>
          <w:numId w:val="6"/>
        </w:numPr>
        <w:spacing w:before="240" w:after="120"/>
        <w:ind w:left="720" w:hanging="329"/>
        <w:jc w:val="left"/>
      </w:pPr>
      <w:r>
        <w:t>scf_download(2022) writes raw .rds files to scf_data/.</w:t>
      </w:r>
    </w:p>
    <w:p>
      <w:pPr>
        <w:numPr>
          <w:ilvl w:val="0"/>
          <w:numId w:val="6"/>
        </w:numPr>
        <w:spacing w:before="120" w:after="120"/>
        <w:ind w:left="720" w:hanging="329"/>
        <w:jc w:val="left"/>
      </w:pPr>
      <w:r>
        <w:t>scf_load(2022, data_directory = "scf_data") returns an object with $mi_design[[1..5]] survey-design slots, one per implicate.</w:t>
      </w:r>
    </w:p>
    <w:p>
      <w:pPr>
        <w:numPr>
          <w:ilvl w:val="0"/>
          <w:numId w:val="6"/>
        </w:numPr>
        <w:spacing w:before="120" w:after="120"/>
        <w:ind w:left="720" w:hanging="329"/>
        <w:jc w:val="left"/>
      </w:pPr>
      <w:r>
        <w:t>scf_update(scf_obj, new_var = expr, ...) adds variables to all 5 implicates.</w:t>
      </w:r>
    </w:p>
    <w:p>
      <w:pPr>
        <w:numPr>
          <w:ilvl w:val="0"/>
          <w:numId w:val="6"/>
        </w:numPr>
        <w:spacing w:before="120" w:after="120"/>
        <w:ind w:left="720" w:hanging="329"/>
        <w:jc w:val="left"/>
      </w:pPr>
      <w:r>
        <w:t>scf_mean(), scf_glm(), scf_ols() fit pooled models with Rubin’s-Rules pooling and replicate-weight-based variance.</w:t>
      </w:r>
    </w:p>
    <w:p>
      <w:pPr>
        <w:numPr>
          <w:ilvl w:val="0"/>
          <w:numId w:val="6"/>
        </w:numPr>
        <w:spacing w:before="120" w:after="240"/>
        <w:ind w:left="720" w:hanging="329"/>
        <w:jc w:val="left"/>
      </w:pPr>
      <w:r>
        <w:t>Subsetting (e.g., to the foreign-born sample) is done by copying the object and manually subset()-ing each mi_design[[i]] slot.</w:t>
      </w:r>
    </w:p>
    <w:p>
      <w:pPr>
        <w:spacing w:before="120" w:after="120"/>
        <w:jc w:val="left"/>
      </w:pPr>
      <w:r>
        <w:t>The new 2022 immigration variables (X6915, X6906, X7404, X7796) are not in the Bulletin summary extract that the scf package builds. The diagnostic chunk at the top of this document attempts to merge them in from the raw 2022 SCF .rds file. If the merge fails, those analyses cannot proceed.</w:t>
      </w:r>
    </w:p>
    <w:p>
      <w:pPr>
        <w:pStyle w:val="Heading1"/>
        <w:keepNext w:val="0"/>
        <w:keepLines w:val="0"/>
        <w:spacing w:before="480" w:after="240"/>
        <w:jc w:val="left"/>
        <w:rPr>
          <w:b/>
          <w:bCs/>
          <w:sz w:val="48"/>
          <w:szCs w:val="48"/>
        </w:rPr>
      </w:pPr>
      <w:r>
        <w:rPr>
          <w:rFonts w:ascii="Times New Roman" w:eastAsia="Times New Roman" w:hAnsi="Times New Roman" w:cs="Times New Roman"/>
          <w:b w:val="0"/>
          <w:bCs w:val="0"/>
          <w:i w:val="0"/>
          <w:color w:val="0F58BD"/>
        </w:rPr>
        <w:t>Appendix C: V9 Methodological Notes</w:t>
      </w:r>
    </w:p>
    <w:p>
      <w:pPr>
        <w:spacing w:before="120" w:after="120"/>
        <w:jc w:val="left"/>
      </w:pPr>
      <w:r>
        <w:t>This V9 build reframes V8 around a balanced test of segmented assimilation versus human-capital convergence and adds a duration-stratified robustness check (Section 6).</w:t>
      </w:r>
    </w:p>
    <w:p>
      <w:pPr>
        <w:spacing w:before="120" w:after="120"/>
        <w:jc w:val="left"/>
      </w:pPr>
      <w:r>
        <w:rPr>
          <w:b/>
          <w:bCs/>
        </w:rPr>
        <w:t>V9 changes:</w:t>
      </w:r>
    </w:p>
    <w:p>
      <w:pPr>
        <w:numPr>
          <w:ilvl w:val="0"/>
          <w:numId w:val="7"/>
        </w:numPr>
        <w:spacing w:before="240" w:after="120"/>
        <w:ind w:left="720" w:hanging="329"/>
        <w:jc w:val="left"/>
      </w:pPr>
      <w:r>
        <w:rPr>
          <w:b/>
          <w:bCs/>
        </w:rPr>
        <w:t>Reframed Abstract, Section 1, Discussion, and Conclusion.</w:t>
      </w:r>
      <w:r>
        <w:t xml:space="preserve"> The earlier versions framed the analysis as a test of segmented-assimilation predictions, with convergence as an implicit alternative. V9 treats the two models as competing hypotheses given equal a priori weight, then reports what the data show.</w:t>
      </w:r>
    </w:p>
    <w:p>
      <w:pPr>
        <w:numPr>
          <w:ilvl w:val="0"/>
          <w:numId w:val="7"/>
        </w:numPr>
        <w:spacing w:before="120" w:after="120"/>
        <w:ind w:left="720" w:hanging="329"/>
        <w:jc w:val="left"/>
      </w:pPr>
      <w:r>
        <w:rPr>
          <w:b/>
          <w:bCs/>
        </w:rPr>
        <w:t>New Section 6 — Duration-Stratified Analysis.</w:t>
      </w:r>
      <w:r>
        <w:t xml:space="preserve"> The pooled foreign-born sample has a mean YIU of 36.8 years, which may obscure early-stage segmentation effects. Section 6 splits the sample at the standard 15-year threshold and re-estimates the H1 origin-region models within each stratum, on three core outcomes (one per pathway: retirement, homeownership, credit denial). The comparative table allows the reader to assess whether origin-region effects are larger in early-stage incorporation than in long-tenured immigrants.</w:t>
      </w:r>
    </w:p>
    <w:p>
      <w:pPr>
        <w:numPr>
          <w:ilvl w:val="0"/>
          <w:numId w:val="7"/>
        </w:numPr>
        <w:spacing w:before="120" w:after="240"/>
        <w:ind w:left="720" w:hanging="329"/>
        <w:jc w:val="left"/>
      </w:pPr>
      <w:r>
        <w:rPr>
          <w:b/>
          <w:bCs/>
        </w:rPr>
        <w:t>Updated Limitations section.</w:t>
      </w:r>
      <w:r>
        <w:t xml:space="preserve"> Survivorship bias is now the lead limitation, with explicit discussion of return-migration mechanisms. Statistical-power limitations are reported as a separate point: the analysis is well-powered against large segmentation effects but only modestly powered against smaller effects.</w:t>
      </w:r>
    </w:p>
    <w:p>
      <w:pPr>
        <w:spacing w:before="120" w:after="120"/>
        <w:jc w:val="left"/>
      </w:pPr>
      <w:r>
        <w:rPr>
          <w:b/>
          <w:bCs/>
        </w:rPr>
        <w:t>Earlier-version corrections (carried forward):</w:t>
      </w:r>
    </w:p>
    <w:p>
      <w:pPr>
        <w:spacing w:before="120" w:after="120"/>
        <w:jc w:val="left"/>
      </w:pPr>
      <w:r>
        <w:t>V8 fixed a singularity issue: with the strict foreign-born filter (which requires years_in_us &gt; 0), the missing-indicator variable yiu_missing became a constant 0, causing the GLM solver to crash. V8 replaced yiu_clean + yiu_missing with raw years_in_us in all model formulas.</w:t>
      </w:r>
    </w:p>
    <w:p>
      <w:pPr>
        <w:spacing w:before="120" w:after="120"/>
        <w:jc w:val="left"/>
      </w:pPr>
      <w:r>
        <w:t>V7 fixed a formula-environment scoping issue: when as.formula() is called inside a function, the formula’s environment becomes the function’s local scope, which doesn’t contain the survey design’s variables. V7 sets environment(formula) &lt;- globalenv() so the survey functions can resolve term names against the design’s $variables data.</w:t>
      </w:r>
    </w:p>
    <w:p>
      <w:pPr>
        <w:spacing w:before="120" w:after="120"/>
        <w:jc w:val="left"/>
      </w:pPr>
      <w:r>
        <w:t>V6 corrected the years-in-U.S. variable identity: V5 erroneously used X7437–X7443 (which are mortgage-forbearance variables per the official 2022 SCF changes file). The correct YIU variable is X6906 for the respondent and X7796 for the spouse.</w:t>
      </w:r>
    </w:p>
    <w:p>
      <w:pPr>
        <w:spacing w:before="120" w:after="120"/>
        <w:jc w:val="left"/>
      </w:pPr>
      <w:r>
        <w:t>V5 corrections: foreign-born identification requires both X6915 indicating non- American ancestry AND X6906 &gt; 0; nw_pctl computed via scf_update on the full SCF sample before subsetting; quasi-complete separation pre-checked in the H1 cache loop and H3 chunk; H3 interaction errors surfaced explicitly rather than silently swallowed; H1 result tables reformatted (Baseline/Full side-by-side, origin-region prefix stripped).</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scf_segmented_assimilation_v9</dc:title>
  <cp:revision>0</cp:revision>
</cp:coreProperties>
</file>