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000000" w:rsidRPr="00000000" w:rsidP="00000000" w14:paraId="00000001">
      <w:pPr>
        <w:spacing w:before="240" w:after="240"/>
      </w:pPr>
      <w:r w:rsidRPr="00000000">
        <w:rPr>
          <w:rtl w:val="0"/>
        </w:rPr>
        <w:t>Yes, sources indicate there is a fertility gap crisis. However, experts define the "crisis" in two distinct ways: the macroeconomic crisis of sub-replacement fertility levels and the micro-level crisis of "unrealized" fertility, in which individuals are having fewer children than they say they want.</w:t>
      </w:r>
    </w:p>
    <w:p w:rsidR="00000000" w:rsidRPr="00000000" w:rsidP="00000000" w14:paraId="00000002">
      <w:pPr>
        <w:spacing w:before="240" w:after="240"/>
      </w:pPr>
      <w:r w:rsidRPr="00000000">
        <w:rPr>
          <w:b/>
          <w:bCs/>
          <w:rtl w:val="0"/>
        </w:rPr>
        <w:t>The Gap Between Desire and Reality</w:t>
      </w:r>
      <w:r w:rsidRPr="00000000">
        <w:rPr>
          <w:rtl w:val="0"/>
        </w:rPr>
        <w:t>. A significant body of research suggests the primary crisis is one of "reproductive agency," where people are unable to meet their own family goals due to economic and social constraints.</w:t>
      </w:r>
    </w:p>
    <w:p w:rsidR="00000000" w:rsidRPr="00000000" w:rsidP="00000000" w14:paraId="00000003">
      <w:pPr>
        <w:numPr>
          <w:ilvl w:val="0"/>
          <w:numId w:val="8"/>
        </w:numPr>
        <w:spacing w:before="240" w:after="0" w:afterAutospacing="0"/>
        <w:ind w:left="720" w:hanging="360"/>
      </w:pPr>
      <w:r w:rsidRPr="00000000">
        <w:rPr>
          <w:b/>
          <w:bCs/>
          <w:rtl w:val="0"/>
        </w:rPr>
        <w:t>The Aspirational Gap:</w:t>
      </w:r>
      <w:r w:rsidRPr="00000000">
        <w:rPr>
          <w:rtl w:val="0"/>
        </w:rPr>
        <w:t xml:space="preserve"> In the United States and other developed nations, the number of children women say they want (the ideal family size) has remained stable at approximately 2.1 to 2.2 children. However, the actual total fertility rate (TFR) has dropped significantly (to around 1.6 in the U.S.), suggesting that women are not choosing to have fewer children but are being prevented from doing so by circumstances.</w:t>
      </w:r>
    </w:p>
    <w:p w:rsidR="00000000" w:rsidRPr="00000000" w:rsidP="00000000" w14:paraId="00000004">
      <w:pPr>
        <w:numPr>
          <w:ilvl w:val="0"/>
          <w:numId w:val="8"/>
        </w:numPr>
        <w:spacing w:before="0" w:beforeAutospacing="0" w:after="240"/>
        <w:ind w:left="720" w:hanging="360"/>
      </w:pPr>
      <w:r w:rsidRPr="00000000">
        <w:rPr>
          <w:b/>
          <w:bCs/>
          <w:rtl w:val="0"/>
        </w:rPr>
        <w:t>Unplanned Childlessness:</w:t>
      </w:r>
      <w:r w:rsidRPr="00000000">
        <w:rPr>
          <w:rtl w:val="0"/>
        </w:rPr>
        <w:t xml:space="preserve"> This gap has led to a rise in "unplanned" or "circumstantial" childlessness. Data indicate that up to half of women who reach age 30 without children may never become mothers, often contrary to their earlier intentions. This phenomenon creates a "fertility gap" driven by the biological reality that fecundity declines with age, yet public awareness of this "fertility window" remains low.</w:t>
      </w:r>
    </w:p>
    <w:p w:rsidR="00000000" w:rsidRPr="00000000" w:rsidP="00000000" w14:paraId="00000005">
      <w:pPr>
        <w:spacing w:before="240" w:after="240"/>
      </w:pPr>
      <w:r w:rsidRPr="00000000">
        <w:rPr>
          <w:b/>
          <w:bCs/>
          <w:rtl w:val="0"/>
        </w:rPr>
        <w:t>Drivers of the Fertility Gap</w:t>
      </w:r>
      <w:r w:rsidRPr="00000000">
        <w:rPr>
          <w:rtl w:val="0"/>
        </w:rPr>
        <w:t>. The sources identify several structural and sociological drivers widening this gap:</w:t>
      </w:r>
    </w:p>
    <w:p w:rsidR="00000000" w:rsidRPr="00000000" w:rsidP="00000000" w14:paraId="00000006">
      <w:pPr>
        <w:numPr>
          <w:ilvl w:val="0"/>
          <w:numId w:val="6"/>
        </w:numPr>
        <w:spacing w:before="240" w:after="0" w:afterAutospacing="0"/>
        <w:ind w:left="720" w:hanging="360"/>
      </w:pPr>
      <w:r w:rsidRPr="00000000">
        <w:rPr>
          <w:b/>
          <w:bCs/>
          <w:rtl w:val="0"/>
        </w:rPr>
        <w:t>The Marriage Divide:</w:t>
      </w:r>
      <w:r w:rsidRPr="00000000">
        <w:rPr>
          <w:rtl w:val="0"/>
        </w:rPr>
        <w:t xml:space="preserve"> The decline in marriage is a primary driver of declining fertility. Married women consistently have more children than unmarried women. However, marriage is increasingly becoming a "luxury good" accessible mostly to the college-educated elite, creating a "Two-Parent Privilege" where economic security and stable family formation are bundled together, leaving working-class populations behind.</w:t>
      </w:r>
    </w:p>
    <w:p w:rsidR="00000000" w:rsidRPr="00000000" w:rsidP="00000000" w14:paraId="00000007">
      <w:pPr>
        <w:numPr>
          <w:ilvl w:val="0"/>
          <w:numId w:val="6"/>
        </w:numPr>
        <w:spacing w:before="0" w:beforeAutospacing="0" w:after="0" w:afterAutospacing="0"/>
        <w:ind w:left="720" w:hanging="360"/>
      </w:pPr>
      <w:r w:rsidRPr="00000000">
        <w:rPr>
          <w:b/>
          <w:bCs/>
          <w:rtl w:val="0"/>
        </w:rPr>
        <w:t>Dating and Partnering Challenges:</w:t>
      </w:r>
      <w:r w:rsidRPr="00000000">
        <w:rPr>
          <w:rtl w:val="0"/>
        </w:rPr>
        <w:t xml:space="preserve"> Finding a suitable partner is a major barrier. The "rejection mind-set," where the abundance of options in online dating leads to pessimism and disengagement, exacerbates the difficulty of finding a partner during prime reproductive years. (Note: This psychological phenomenon, discussed in our previous exchange, aligns with data showing that the lack of a suitable partner is a top reason for underachieved fertility.</w:t>
      </w:r>
    </w:p>
    <w:p w:rsidR="00000000" w:rsidRPr="00000000" w:rsidP="00000000" w14:paraId="00000008">
      <w:pPr>
        <w:numPr>
          <w:ilvl w:val="0"/>
          <w:numId w:val="6"/>
        </w:numPr>
        <w:spacing w:before="0" w:beforeAutospacing="0" w:after="0" w:afterAutospacing="0"/>
        <w:ind w:left="720" w:hanging="360"/>
      </w:pPr>
      <w:r w:rsidRPr="00000000">
        <w:rPr>
          <w:b/>
          <w:bCs/>
          <w:rtl w:val="0"/>
        </w:rPr>
        <w:t>Economic Barriers:</w:t>
      </w:r>
      <w:r w:rsidRPr="00000000">
        <w:rPr>
          <w:rtl w:val="0"/>
        </w:rPr>
        <w:t xml:space="preserve"> High housing costs, student debt, and the "opportunity cost" of lost wages contribute to delayed parenthood. In the U.S., a $100,000 increase in housing wealth was found to increase fertility among homeowners, suggesting financial resources directly impact the decision to have children. Conversely, high levels of personal debt are associated with a lower probability of transitioning to parenthood.</w:t>
      </w:r>
    </w:p>
    <w:p w:rsidR="00000000" w:rsidRPr="00000000" w:rsidP="00000000" w14:paraId="00000009">
      <w:pPr>
        <w:numPr>
          <w:ilvl w:val="0"/>
          <w:numId w:val="6"/>
        </w:numPr>
        <w:spacing w:before="0" w:beforeAutospacing="0" w:after="240"/>
        <w:ind w:left="720" w:hanging="360"/>
      </w:pPr>
      <w:r w:rsidRPr="00000000">
        <w:rPr>
          <w:b/>
          <w:bCs/>
          <w:rtl w:val="0"/>
        </w:rPr>
        <w:t>Delayed Adulthood:</w:t>
      </w:r>
      <w:r w:rsidRPr="00000000">
        <w:rPr>
          <w:rtl w:val="0"/>
        </w:rPr>
        <w:t xml:space="preserve"> The transition to adulthood, marked by financial independence and partnership, is happening later. Because fertility is time-sensitive, these delays often result in "forgone fertility" rather than just postponed fertility.</w:t>
      </w:r>
    </w:p>
    <w:p w:rsidR="00000000" w:rsidRPr="00000000" w:rsidP="00000000" w14:paraId="0000000A">
      <w:pPr>
        <w:spacing w:before="240" w:after="240"/>
      </w:pPr>
      <w:r w:rsidRPr="00000000">
        <w:rPr>
          <w:b/>
          <w:bCs/>
          <w:rtl w:val="0"/>
        </w:rPr>
        <w:t>The Macro-Demographic Crisis</w:t>
      </w:r>
      <w:r w:rsidRPr="00000000">
        <w:rPr>
          <w:rtl w:val="0"/>
        </w:rPr>
        <w:t>. From a macroeconomic perspective, the fertility gap threatens the stability of welfare states and the broader economy.</w:t>
      </w:r>
    </w:p>
    <w:p w:rsidR="00000000" w:rsidRPr="00000000" w:rsidP="00000000" w14:paraId="0000000B">
      <w:pPr>
        <w:numPr>
          <w:ilvl w:val="0"/>
          <w:numId w:val="3"/>
        </w:numPr>
        <w:spacing w:before="240" w:after="0" w:afterAutospacing="0"/>
        <w:ind w:left="720" w:hanging="360"/>
      </w:pPr>
      <w:r w:rsidRPr="00000000">
        <w:rPr>
          <w:b/>
          <w:bCs/>
          <w:rtl w:val="0"/>
        </w:rPr>
        <w:t>Sub-Replacement Levels:</w:t>
      </w:r>
      <w:r w:rsidRPr="00000000">
        <w:rPr>
          <w:rtl w:val="0"/>
        </w:rPr>
        <w:t xml:space="preserve"> The U.S. fertility rate has been generally below the replacement level of 2.1 since 1971 and consistently so since 2007. Globally, countries like South Korea have seen rates plummet to as low as 0.72.</w:t>
      </w:r>
    </w:p>
    <w:p w:rsidR="00000000" w:rsidRPr="00000000" w:rsidP="00000000" w14:paraId="0000000C">
      <w:pPr>
        <w:numPr>
          <w:ilvl w:val="0"/>
          <w:numId w:val="3"/>
        </w:numPr>
        <w:spacing w:before="0" w:beforeAutospacing="0" w:after="240"/>
        <w:ind w:left="720" w:hanging="360"/>
      </w:pPr>
      <w:r w:rsidRPr="00000000">
        <w:rPr>
          <w:b/>
          <w:bCs/>
          <w:rtl w:val="0"/>
        </w:rPr>
        <w:t>Aging Populations:</w:t>
      </w:r>
      <w:r w:rsidRPr="00000000">
        <w:rPr>
          <w:rtl w:val="0"/>
        </w:rPr>
        <w:t xml:space="preserve"> Low fertility leads to "top-heavy" aging populations with fewer workers to support social safety nets like Social Security. This demographic shift has prompted fears of economic stagnation and "depopulation".</w:t>
      </w:r>
    </w:p>
    <w:p w:rsidR="00000000" w:rsidRPr="00000000" w:rsidP="00000000" w14:paraId="0000000D">
      <w:pPr>
        <w:spacing w:before="240" w:after="240"/>
      </w:pPr>
      <w:r w:rsidRPr="00000000">
        <w:rPr>
          <w:b/>
          <w:bCs/>
          <w:rtl w:val="0"/>
        </w:rPr>
        <w:t>Failure of Policy Interventions</w:t>
      </w:r>
      <w:r w:rsidRPr="00000000">
        <w:rPr>
          <w:rtl w:val="0"/>
        </w:rPr>
        <w:t xml:space="preserve"> Governments attempting to bridge this gap through "pronatalist" policies, such as cash transfers and baby bonuses, have seen limited success.</w:t>
      </w:r>
    </w:p>
    <w:p w:rsidR="00000000" w:rsidRPr="00000000" w:rsidP="00000000" w14:paraId="0000000E">
      <w:pPr>
        <w:numPr>
          <w:ilvl w:val="0"/>
          <w:numId w:val="1"/>
        </w:numPr>
        <w:spacing w:before="240" w:after="0" w:afterAutospacing="0"/>
        <w:ind w:left="720" w:hanging="360"/>
      </w:pPr>
      <w:r w:rsidRPr="00000000">
        <w:rPr>
          <w:b/>
          <w:bCs/>
          <w:rtl w:val="0"/>
        </w:rPr>
        <w:t>High Cost, Low Return:</w:t>
      </w:r>
      <w:r w:rsidRPr="00000000">
        <w:rPr>
          <w:rtl w:val="0"/>
        </w:rPr>
        <w:t xml:space="preserve"> Evidence from Hungary, Poland, and Singapore suggests that even expensive subsidies yield only modest or temporary increases in birth rates, often affecting the timing of births rather than the total number.</w:t>
      </w:r>
    </w:p>
    <w:p w:rsidR="00000000" w:rsidRPr="00000000" w:rsidP="00000000" w14:paraId="0000000F">
      <w:pPr>
        <w:numPr>
          <w:ilvl w:val="0"/>
          <w:numId w:val="1"/>
        </w:numPr>
        <w:spacing w:before="0" w:beforeAutospacing="0" w:after="240"/>
        <w:ind w:left="720" w:hanging="360"/>
      </w:pPr>
      <w:r w:rsidRPr="00000000">
        <w:rPr>
          <w:b/>
          <w:bCs/>
          <w:rtl w:val="0"/>
        </w:rPr>
        <w:t>Structural vs. Financial:</w:t>
      </w:r>
      <w:r w:rsidRPr="00000000">
        <w:rPr>
          <w:rtl w:val="0"/>
        </w:rPr>
        <w:t xml:space="preserve"> Experts argue that simplistic financial incentives fail because they do not address deeper structural issues, such as the need for gender-equitable childcare, affordable housing, and reproductive agency. The United Nations Population Fund (UNFPA) advocates moving away from fertility targets toward policies that support individuals' reproductive rights and remove barriers to family formation.</w:t>
      </w:r>
    </w:p>
    <w:p w:rsidR="00000000" w:rsidRPr="00000000" w:rsidP="00000000" w14:paraId="00000010">
      <w:pPr>
        <w:spacing w:before="240" w:after="240"/>
      </w:pPr>
      <w:r w:rsidRPr="00000000">
        <w:rPr>
          <w:rtl w:val="0"/>
        </w:rPr>
        <w:t>Based on the provided sources, the relationship between housing wealth and birth rates is complex and varies, depending primarily on whether a household owns or rents its property. Generally, for homeowners, increased housing wealth acts as a financial safety net that encourages childbearing, while for non-owners, high housing costs act as a barrier.</w:t>
      </w:r>
    </w:p>
    <w:p w:rsidR="00000000" w:rsidRPr="00000000" w:rsidP="00000000" w14:paraId="00000011">
      <w:pPr>
        <w:spacing w:before="240" w:after="240"/>
      </w:pPr>
      <w:r w:rsidRPr="00000000">
        <w:rPr>
          <w:b/>
          <w:bCs/>
          <w:rtl w:val="0"/>
        </w:rPr>
        <w:t>The "Wealth Shock" Effect for Homeowners</w:t>
      </w:r>
      <w:r w:rsidRPr="00000000">
        <w:rPr>
          <w:rtl w:val="0"/>
        </w:rPr>
        <w:t>: Research indicates that increases in housing wealth have a significant, positive causal effect on homeowners' fertility.</w:t>
      </w:r>
    </w:p>
    <w:p w:rsidR="00000000" w:rsidRPr="00000000" w:rsidP="00000000" w14:paraId="00000012">
      <w:pPr>
        <w:numPr>
          <w:ilvl w:val="0"/>
          <w:numId w:val="2"/>
        </w:numPr>
        <w:spacing w:before="240" w:after="0" w:afterAutospacing="0"/>
        <w:ind w:left="720" w:hanging="360"/>
      </w:pPr>
      <w:r w:rsidRPr="00000000">
        <w:rPr>
          <w:b/>
          <w:bCs/>
          <w:rtl w:val="0"/>
        </w:rPr>
        <w:t>Significant Increase in Probability:</w:t>
      </w:r>
      <w:r w:rsidRPr="00000000">
        <w:rPr>
          <w:rtl w:val="0"/>
        </w:rPr>
        <w:t xml:space="preserve"> A study using Panel Study of Income Dynamics data found that a $100,000 increase in homeowners' housing wealth is associated with a 16% to 18% increase in the probability of having a child.</w:t>
      </w:r>
    </w:p>
    <w:p w:rsidR="00000000" w:rsidRPr="00000000" w:rsidP="00000000" w14:paraId="00000013">
      <w:pPr>
        <w:numPr>
          <w:ilvl w:val="0"/>
          <w:numId w:val="2"/>
        </w:numPr>
        <w:spacing w:before="0" w:beforeAutospacing="0" w:after="0" w:afterAutospacing="0"/>
        <w:ind w:left="720" w:hanging="360"/>
      </w:pPr>
      <w:r w:rsidRPr="00000000">
        <w:rPr>
          <w:b/>
          <w:bCs/>
          <w:rtl w:val="0"/>
        </w:rPr>
        <w:t>Children as "Normal Goods":</w:t>
      </w:r>
      <w:r w:rsidRPr="00000000">
        <w:rPr>
          <w:rtl w:val="0"/>
        </w:rPr>
        <w:t xml:space="preserve"> This phenomenon supports the economic theory that children are "normal goods," meaning demand for them increases as household resources increase. When home prices rise, owners experience a positive wealth shock, making the financial commitment of raising children more feasible.</w:t>
      </w:r>
    </w:p>
    <w:p w:rsidR="00000000" w:rsidRPr="00000000" w:rsidP="00000000" w14:paraId="00000014">
      <w:pPr>
        <w:numPr>
          <w:ilvl w:val="0"/>
          <w:numId w:val="2"/>
        </w:numPr>
        <w:spacing w:before="0" w:beforeAutospacing="0" w:after="0" w:afterAutospacing="0"/>
        <w:ind w:left="720" w:hanging="360"/>
      </w:pPr>
      <w:r w:rsidRPr="00000000">
        <w:rPr>
          <w:b/>
          <w:bCs/>
          <w:rtl w:val="0"/>
        </w:rPr>
        <w:t>Total Fertility vs. Timing:</w:t>
      </w:r>
      <w:r w:rsidRPr="00000000">
        <w:rPr>
          <w:rtl w:val="0"/>
        </w:rPr>
        <w:t xml:space="preserve"> This wealth shock does not simply cause couples to have children earlier; it appears to increase the </w:t>
      </w:r>
      <w:r w:rsidRPr="00000000">
        <w:rPr>
          <w:i/>
          <w:iCs/>
          <w:rtl w:val="0"/>
        </w:rPr>
        <w:t>total</w:t>
      </w:r>
      <w:r w:rsidRPr="00000000">
        <w:rPr>
          <w:rtl w:val="0"/>
        </w:rPr>
        <w:t xml:space="preserve"> number of children a woman has over her lifetime.</w:t>
      </w:r>
    </w:p>
    <w:p w:rsidR="00000000" w:rsidRPr="00000000" w:rsidP="00000000" w14:paraId="00000015">
      <w:pPr>
        <w:numPr>
          <w:ilvl w:val="0"/>
          <w:numId w:val="2"/>
        </w:numPr>
        <w:spacing w:before="0" w:beforeAutospacing="0" w:after="240"/>
        <w:ind w:left="720" w:hanging="360"/>
      </w:pPr>
      <w:r w:rsidRPr="00000000">
        <w:rPr>
          <w:b/>
          <w:bCs/>
          <w:rtl w:val="0"/>
        </w:rPr>
        <w:t>Liquidity Matters:</w:t>
      </w:r>
      <w:r w:rsidRPr="00000000">
        <w:rPr>
          <w:rtl w:val="0"/>
        </w:rPr>
        <w:t xml:space="preserve"> The fertility response to housing wealth was stronger in the 2000s than in the 1980s. Pair that with the increased ability of homeowners to extract equity through home equity loans and lines of credit, making the "paper wealth" of a home accessible cash for family expenses.</w:t>
      </w:r>
    </w:p>
    <w:p w:rsidR="00000000" w:rsidRPr="00000000" w:rsidP="00000000" w14:paraId="00000016">
      <w:pPr>
        <w:spacing w:before="240" w:after="240"/>
      </w:pPr>
      <w:r w:rsidRPr="00000000">
        <w:rPr>
          <w:b/>
          <w:bCs/>
          <w:rtl w:val="0"/>
        </w:rPr>
        <w:t>Mortgages vs. Other Debts</w:t>
      </w:r>
      <w:r w:rsidRPr="00000000">
        <w:rPr>
          <w:rtl w:val="0"/>
        </w:rPr>
        <w:t>: Different types of financial liabilities interact differently with fertility. While student loans are associated with delayed childbearing, mortgages often function as a "precursor" to parenthood.</w:t>
      </w:r>
    </w:p>
    <w:p w:rsidR="00000000" w:rsidRPr="00000000" w:rsidP="00000000" w14:paraId="00000017">
      <w:pPr>
        <w:numPr>
          <w:ilvl w:val="0"/>
          <w:numId w:val="7"/>
        </w:numPr>
        <w:spacing w:before="240" w:after="0" w:afterAutospacing="0"/>
        <w:ind w:left="720" w:hanging="360"/>
      </w:pPr>
      <w:r w:rsidRPr="00000000">
        <w:rPr>
          <w:b/>
          <w:bCs/>
          <w:rtl w:val="0"/>
        </w:rPr>
        <w:t>Immediate Benefits:</w:t>
      </w:r>
      <w:r w:rsidRPr="00000000">
        <w:rPr>
          <w:rtl w:val="0"/>
        </w:rPr>
        <w:t xml:space="preserve"> Unlike student loans, which have delayed payoffs, mortgage debt secures immediate consumption benefits, such as more space, safer neighborhoods, and better schools, that are viewed as prerequisites for raising a family.</w:t>
      </w:r>
    </w:p>
    <w:p w:rsidR="00000000" w:rsidRPr="00000000" w:rsidP="00000000" w14:paraId="00000018">
      <w:pPr>
        <w:numPr>
          <w:ilvl w:val="0"/>
          <w:numId w:val="7"/>
        </w:numPr>
        <w:spacing w:before="0" w:beforeAutospacing="0" w:after="240"/>
        <w:ind w:left="720" w:hanging="360"/>
      </w:pPr>
      <w:r w:rsidRPr="00000000">
        <w:rPr>
          <w:b/>
          <w:bCs/>
          <w:rtl w:val="0"/>
        </w:rPr>
        <w:t>Facilitator of Fertility:</w:t>
      </w:r>
      <w:r w:rsidRPr="00000000">
        <w:rPr>
          <w:rtl w:val="0"/>
        </w:rPr>
        <w:t xml:space="preserve"> Consequently, holding a mortgage is positively associated with an increased likelihood of transitioning to parenthood, acting as a facilitator rather than a barrier.</w:t>
      </w:r>
    </w:p>
    <w:p w:rsidR="00000000" w:rsidRPr="00000000" w:rsidP="00000000" w14:paraId="00000019">
      <w:pPr>
        <w:spacing w:before="240" w:after="240"/>
      </w:pPr>
      <w:r w:rsidRPr="00000000">
        <w:rPr>
          <w:b/>
          <w:bCs/>
          <w:rtl w:val="0"/>
        </w:rPr>
        <w:t>The Divergence for Renters and Teens</w:t>
      </w:r>
      <w:r w:rsidRPr="00000000">
        <w:rPr>
          <w:rtl w:val="0"/>
        </w:rPr>
        <w:t>. The positive relationship between housing prices and birth rates does not apply to non-owners or dependents.</w:t>
      </w:r>
    </w:p>
    <w:p w:rsidR="00000000" w:rsidRPr="00000000" w:rsidP="00000000" w14:paraId="0000001A">
      <w:pPr>
        <w:numPr>
          <w:ilvl w:val="0"/>
          <w:numId w:val="5"/>
        </w:numPr>
        <w:spacing w:before="240" w:after="0" w:afterAutospacing="0"/>
        <w:ind w:left="720" w:hanging="360"/>
      </w:pPr>
      <w:r w:rsidRPr="00000000">
        <w:rPr>
          <w:b/>
          <w:bCs/>
          <w:rtl w:val="0"/>
        </w:rPr>
        <w:t>Renters:</w:t>
      </w:r>
      <w:r w:rsidRPr="00000000">
        <w:rPr>
          <w:rtl w:val="0"/>
        </w:rPr>
        <w:t xml:space="preserve"> For those who do not own homes, rising housing prices represent a cost-of-living increase rather than a wealth increase. No evidence that rising local housing prices increase fertility among renters; in fact, the "substitution effect" (where the high cost of housing competes with the cost of raising children) may lead to a decrease in birth rates for this group. Renters and low-wealth households often remain stuck in a state of "reproductive postponement" due to these barriers.</w:t>
      </w:r>
    </w:p>
    <w:p w:rsidR="00000000" w:rsidRPr="00000000" w:rsidP="00000000" w14:paraId="0000001B">
      <w:pPr>
        <w:numPr>
          <w:ilvl w:val="0"/>
          <w:numId w:val="5"/>
        </w:numPr>
        <w:spacing w:before="0" w:beforeAutospacing="0" w:after="240"/>
        <w:ind w:left="720" w:hanging="360"/>
      </w:pPr>
      <w:r w:rsidRPr="00000000">
        <w:rPr>
          <w:b/>
          <w:bCs/>
          <w:rtl w:val="0"/>
        </w:rPr>
        <w:t>Teenagers:</w:t>
      </w:r>
      <w:r w:rsidRPr="00000000">
        <w:rPr>
          <w:rtl w:val="0"/>
        </w:rPr>
        <w:t xml:space="preserve"> Interestingly, increased parental housing wealth has the opposite effect on their teenage daughters. A $100,000 increase in parental home value is associated with an 18% </w:t>
      </w:r>
      <w:r w:rsidRPr="00000000">
        <w:rPr>
          <w:i/>
          <w:iCs/>
          <w:rtl w:val="0"/>
        </w:rPr>
        <w:t>reduction</w:t>
      </w:r>
      <w:r w:rsidRPr="00000000">
        <w:rPr>
          <w:rtl w:val="0"/>
        </w:rPr>
        <w:t xml:space="preserve"> in the likelihood of teen births, suggesting that increased household resources improve long-term opportunities that discourage early childbearing.</w:t>
      </w:r>
    </w:p>
    <w:p w:rsidR="00000000" w:rsidRPr="00000000" w:rsidP="00000000" w14:paraId="0000001C">
      <w:pPr>
        <w:spacing w:before="240" w:after="240"/>
      </w:pPr>
      <w:r w:rsidRPr="00000000">
        <w:rPr>
          <w:b/>
          <w:bCs/>
          <w:rtl w:val="0"/>
        </w:rPr>
        <w:t>Global Evidence</w:t>
      </w:r>
      <w:r w:rsidRPr="00000000">
        <w:rPr>
          <w:rtl w:val="0"/>
        </w:rPr>
        <w:t>: The link between housing security and fertility extends beyond the United States.</w:t>
      </w:r>
    </w:p>
    <w:p w:rsidR="00000000" w:rsidRPr="00000000" w:rsidP="00000000" w14:paraId="0000001D">
      <w:pPr>
        <w:numPr>
          <w:ilvl w:val="0"/>
          <w:numId w:val="4"/>
        </w:numPr>
        <w:spacing w:before="240" w:after="0" w:afterAutospacing="0"/>
        <w:ind w:left="720" w:hanging="360"/>
      </w:pPr>
      <w:r w:rsidRPr="00000000">
        <w:rPr>
          <w:b/>
          <w:bCs/>
          <w:rtl w:val="0"/>
        </w:rPr>
        <w:t>Housing as a Barrier:</w:t>
      </w:r>
      <w:r w:rsidRPr="00000000">
        <w:rPr>
          <w:rtl w:val="0"/>
        </w:rPr>
        <w:t xml:space="preserve"> In 14 countries surveyed, housing constraints (such as limited space or high costs) were cited by 19% of respondents as a reason for having fewer children than desired.</w:t>
      </w:r>
    </w:p>
    <w:p w:rsidR="00000000" w:rsidRPr="00000000" w:rsidP="00000000" w14:paraId="0000001E">
      <w:pPr>
        <w:numPr>
          <w:ilvl w:val="0"/>
          <w:numId w:val="4"/>
        </w:numPr>
        <w:spacing w:before="0" w:beforeAutospacing="0" w:after="240"/>
        <w:ind w:left="720" w:hanging="360"/>
      </w:pPr>
      <w:r w:rsidRPr="00000000">
        <w:rPr>
          <w:b/>
          <w:bCs/>
          <w:rtl w:val="0"/>
        </w:rPr>
        <w:t>Lottery Evidence:</w:t>
      </w:r>
      <w:r w:rsidRPr="00000000">
        <w:rPr>
          <w:rtl w:val="0"/>
        </w:rPr>
        <w:t xml:space="preserve"> A study in Brazil found that young adults who won housing credit lotteries were 32% more likely to have children than those who did not, further confirming that removing housing constraints can directly unlock fertility potential.</w:t>
      </w:r>
    </w:p>
    <w:p w:rsidR="00000000" w:rsidRPr="00000000" w:rsidP="00000000" w14:paraId="0000001F"/>
    <w:sectPr>
      <w:pgSz w:w="12240" w:h="15840" w:orient="portrait"/>
      <w:pgMar w:top="1440" w:right="1440" w:bottom="1440" w:left="144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charset w:val="00"/>
    <w:family w:val="auto"/>
    <w:pitch w:val="default"/>
  </w:font>
  <w:font w:name="Calibri">
    <w:charset w:val="00"/>
    <w:family w:val="auto"/>
    <w:pitch w:val="default"/>
  </w:font>
  <w:font w:name="Cambria">
    <w:charset w:val="00"/>
    <w:family w:val="auto"/>
    <w:pitch w:val="default"/>
  </w:font>
  <w:font w:name="Times New Roman">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A94FC2B"/>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2C9123F6"/>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D4D7B3D"/>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5179AF10"/>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5AA88DCF"/>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5C4CC320"/>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78AED19E"/>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78EF5A93"/>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4"/>
  </w:num>
  <w:num w:numId="3">
    <w:abstractNumId w:val="0"/>
  </w:num>
  <w:num w:numId="4">
    <w:abstractNumId w:val="2"/>
  </w:num>
  <w:num w:numId="5">
    <w:abstractNumId w:val="7"/>
  </w:num>
  <w:num w:numId="6">
    <w:abstractNumId w:val="5"/>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00" w:after="120"/>
      <w:outlineLvl w:val="0"/>
    </w:pPr>
    <w:rPr>
      <w:sz w:val="40"/>
      <w:szCs w:val="40"/>
    </w:rPr>
  </w:style>
  <w:style w:type="paragraph" w:styleId="Heading2">
    <w:name w:val="heading 2"/>
    <w:basedOn w:val="Normal"/>
    <w:next w:val="Normal"/>
    <w:pPr>
      <w:keepNext/>
      <w:keepLines/>
      <w:pageBreakBefore w:val="0"/>
      <w:spacing w:before="360" w:after="120"/>
      <w:outlineLvl w:val="1"/>
    </w:pPr>
    <w:rPr>
      <w:b w:val="0"/>
      <w:bCs w:val="0"/>
      <w:sz w:val="32"/>
      <w:szCs w:val="32"/>
    </w:rPr>
  </w:style>
  <w:style w:type="paragraph" w:styleId="Heading3">
    <w:name w:val="heading 3"/>
    <w:basedOn w:val="Normal"/>
    <w:next w:val="Normal"/>
    <w:pPr>
      <w:keepNext/>
      <w:keepLines/>
      <w:pageBreakBefore w:val="0"/>
      <w:spacing w:before="320" w:after="80"/>
      <w:outlineLvl w:val="2"/>
    </w:pPr>
    <w:rPr>
      <w:b w:val="0"/>
      <w:bCs w:val="0"/>
      <w:color w:val="434343"/>
      <w:sz w:val="28"/>
      <w:szCs w:val="28"/>
    </w:rPr>
  </w:style>
  <w:style w:type="paragraph" w:styleId="Heading4">
    <w:name w:val="heading 4"/>
    <w:basedOn w:val="Normal"/>
    <w:next w:val="Normal"/>
    <w:pPr>
      <w:keepNext/>
      <w:keepLines/>
      <w:pageBreakBefore w:val="0"/>
      <w:spacing w:before="280" w:after="80"/>
      <w:outlineLvl w:val="3"/>
    </w:pPr>
    <w:rPr>
      <w:color w:val="666666"/>
      <w:sz w:val="24"/>
      <w:szCs w:val="24"/>
    </w:rPr>
  </w:style>
  <w:style w:type="paragraph" w:styleId="Heading5">
    <w:name w:val="heading 5"/>
    <w:basedOn w:val="Normal"/>
    <w:next w:val="Normal"/>
    <w:pPr>
      <w:keepNext/>
      <w:keepLines/>
      <w:pageBreakBefore w:val="0"/>
      <w:spacing w:before="240" w:after="80"/>
      <w:outlineLvl w:val="4"/>
    </w:pPr>
    <w:rPr>
      <w:color w:val="666666"/>
      <w:sz w:val="22"/>
      <w:szCs w:val="22"/>
    </w:rPr>
  </w:style>
  <w:style w:type="paragraph" w:styleId="Heading6">
    <w:name w:val="heading 6"/>
    <w:basedOn w:val="Normal"/>
    <w:next w:val="Normal"/>
    <w:pPr>
      <w:keepNext/>
      <w:keepLines/>
      <w:pageBreakBefore w:val="0"/>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customStyle="1" w:styleId="TableNormal">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0" w:after="60"/>
    </w:pPr>
    <w:rPr>
      <w:sz w:val="52"/>
      <w:szCs w:val="52"/>
    </w:rPr>
  </w:style>
  <w:style w:type="paragraph" w:styleId="Subtitle">
    <w:name w:val="Subtitle"/>
    <w:basedOn w:val="Normal"/>
    <w:next w:val="Normal"/>
    <w:pPr>
      <w:keepNext/>
      <w:keepLines/>
      <w:pageBreakBefore w:val="0"/>
      <w:spacing w:before="0" w:after="320"/>
    </w:pPr>
    <w:rPr>
      <w:rFonts w:ascii="Arial" w:eastAsia="Arial" w:hAnsi="Arial" w:cs="Arial"/>
      <w:i w:val="0"/>
      <w:iCs w:val="0"/>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