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224"/>
      </w:tblGrid>
      <w:tr>
        <w:tc>
          <w:tcPr>
            <w:tcW w:type="dxa" w:w="16"/>
            <w:tcW w:w="10200" w:type="dxa"/>
            <w:shd w:fill="1B4D3E"/>
            <w:tcMar>
              <w:top w:w="140" w:type="dxa"/>
              <w:bottom w:w="140" w:type="dxa"/>
              <w:left w:w="160" w:type="dxa"/>
              <w:right w:w="160" w:type="dxa"/>
            </w:tcMar>
            <w:tcBorders>
              <w:top w:val="single" w:sz="12" w:space="0" w:color="C5A065"/>
              <w:left w:val="single" w:sz="4" w:space="0" w:color="C5A065"/>
              <w:bottom w:val="single" w:sz="12" w:space="0" w:color="C5A065"/>
              <w:right w:val="single" w:sz="4" w:space="0" w:color="C5A065"/>
            </w:tcBorders>
          </w:tcPr>
          <w:p>
            <w:pPr>
              <w:spacing w:after="40"/>
            </w:pPr>
            <w:r>
              <w:rPr>
                <w:rFonts w:ascii="Georgia" w:hAnsi="Georgia"/>
                <w:b/>
                <w:color w:val="C5A065"/>
                <w:sz w:val="28"/>
              </w:rPr>
              <w:t>MANUEL DE DÉPLOIEMENT &amp; GOUVERNANCE DU SMQ DELACOUR</w:t>
              <w:br/>
            </w:r>
            <w:r>
              <w:rPr>
                <w:rFonts w:ascii="Arial" w:hAnsi="Arial"/>
                <w:color w:val="FFFFFF"/>
                <w:sz w:val="19"/>
              </w:rPr>
              <w:t>Trame Cadre Adaptable sur 3 Phases &amp; Intégration des Dispositifs Client</w:t>
            </w:r>
          </w:p>
        </w:tc>
      </w:tr>
    </w:tbl>
    <w:p>
      <w:pPr>
        <w:spacing w:after="120"/>
      </w:pPr>
    </w:p>
    <w:p>
      <w:r>
        <w:rPr>
          <w:rFonts w:ascii="Georgia" w:hAnsi="Georgia"/>
          <w:b/>
          <w:color w:val="1B4D3E"/>
          <w:sz w:val="24"/>
        </w:rPr>
        <w:t>1. VISION STRATÉGIQUE, SOUPLESSE &amp; VALORISATION DE L'EXISTANT</w:t>
      </w:r>
    </w:p>
    <w:p>
      <w:pPr>
        <w:spacing w:after="80"/>
      </w:pPr>
      <w:r>
        <w:rPr>
          <w:rFonts w:ascii="Arial" w:hAnsi="Arial"/>
          <w:sz w:val="18"/>
        </w:rPr>
        <w:t>Ce manuel constitue la trame cadre de déploiement d'un Système de Management de la Qualité (SMQ) axé sur la performance. Principe d'intervention du Cabinet Delacour : chaque entreprise est unique et dispose d'outils, d'historique et de pratiques déjà fonctionnels. L'objectif n'est jamais de faire table rase, mais d'analyser l'existant, de valoriser ce qui fonctionne et de déployer les outils complémentaires sur-mesure.</w:t>
      </w:r>
    </w:p>
    <w:p>
      <w:r>
        <w:rPr>
          <w:rFonts w:ascii="Georgia" w:hAnsi="Georgia"/>
          <w:b/>
          <w:color w:val="1B4D3E"/>
          <w:sz w:val="24"/>
        </w:rPr>
        <w:t>2. FEUILLE DE ROUTE DE DÉPLOIEMENT MODULABLE (3 PHASES)</w:t>
      </w:r>
    </w:p>
    <w:tbl>
      <w:tblPr>
        <w:tblW w:type="auto" w:w="0"/>
        <w:jc w:val="center"/>
        <w:tblLayout w:type="fixed"/>
        <w:tblLook w:firstColumn="1" w:firstRow="1" w:lastColumn="0" w:lastRow="0" w:noHBand="0" w:noVBand="1" w:val="04A0"/>
      </w:tblPr>
      <w:tblGrid>
        <w:gridCol w:w="2556"/>
        <w:gridCol w:w="2556"/>
        <w:gridCol w:w="2556"/>
        <w:gridCol w:w="2556"/>
      </w:tblGrid>
      <w:tr>
        <w:tc>
          <w:tcPr>
            <w:tcW w:type="dxa" w:w="3"/>
            <w:tcW w:w="2200" w:type="dxa"/>
            <w:shd w:fill="1B4D3E"/>
            <w:tcMar>
              <w:top w:w="80" w:type="dxa"/>
              <w:bottom w:w="80" w:type="dxa"/>
              <w:left w:w="100" w:type="dxa"/>
              <w:right w:w="100" w:type="dxa"/>
            </w:tcMar>
          </w:tcPr>
          <w:p>
            <w:pPr>
              <w:spacing w:after="0"/>
            </w:pPr>
            <w:r>
              <w:rPr>
                <w:rFonts w:ascii="Georgia" w:hAnsi="Georgia"/>
                <w:b/>
                <w:color w:val="FFFFFF"/>
                <w:sz w:val="17"/>
              </w:rPr>
              <w:t>Phase &amp; Horizon</w:t>
            </w:r>
          </w:p>
        </w:tc>
        <w:tc>
          <w:tcPr>
            <w:tcW w:type="dxa" w:w="4"/>
            <w:tcW w:w="2600" w:type="dxa"/>
            <w:shd w:fill="1B4D3E"/>
            <w:tcMar>
              <w:top w:w="80" w:type="dxa"/>
              <w:bottom w:w="80" w:type="dxa"/>
              <w:left w:w="100" w:type="dxa"/>
              <w:right w:w="100" w:type="dxa"/>
            </w:tcMar>
          </w:tcPr>
          <w:p>
            <w:pPr>
              <w:spacing w:after="0"/>
            </w:pPr>
            <w:r>
              <w:rPr>
                <w:rFonts w:ascii="Georgia" w:hAnsi="Georgia"/>
                <w:b/>
                <w:color w:val="FFFFFF"/>
                <w:sz w:val="17"/>
              </w:rPr>
              <w:t>Objectif Stratégique Adapté</w:t>
            </w:r>
          </w:p>
        </w:tc>
        <w:tc>
          <w:tcPr>
            <w:tcW w:type="dxa" w:w="4"/>
            <w:tcW w:w="2600" w:type="dxa"/>
            <w:shd w:fill="1B4D3E"/>
            <w:tcMar>
              <w:top w:w="80" w:type="dxa"/>
              <w:bottom w:w="80" w:type="dxa"/>
              <w:left w:w="100" w:type="dxa"/>
              <w:right w:w="100" w:type="dxa"/>
            </w:tcMar>
          </w:tcPr>
          <w:p>
            <w:pPr>
              <w:spacing w:after="0"/>
            </w:pPr>
            <w:r>
              <w:rPr>
                <w:rFonts w:ascii="Georgia" w:hAnsi="Georgia"/>
                <w:b/>
                <w:color w:val="FFFFFF"/>
                <w:sz w:val="17"/>
              </w:rPr>
              <w:t>Outils (Existant Client ou Kit Delacour)</w:t>
            </w:r>
          </w:p>
        </w:tc>
        <w:tc>
          <w:tcPr>
            <w:tcW w:type="dxa" w:w="4"/>
            <w:tcW w:w="2800" w:type="dxa"/>
            <w:shd w:fill="1B4D3E"/>
            <w:tcMar>
              <w:top w:w="80" w:type="dxa"/>
              <w:bottom w:w="80" w:type="dxa"/>
              <w:left w:w="100" w:type="dxa"/>
              <w:right w:w="100" w:type="dxa"/>
            </w:tcMar>
          </w:tcPr>
          <w:p>
            <w:pPr>
              <w:spacing w:after="0"/>
            </w:pPr>
            <w:r>
              <w:rPr>
                <w:rFonts w:ascii="Georgia" w:hAnsi="Georgia"/>
                <w:b/>
                <w:color w:val="FFFFFF"/>
                <w:sz w:val="17"/>
              </w:rPr>
              <w:t>Livrables Attendus &amp; Validation</w:t>
            </w:r>
          </w:p>
        </w:tc>
      </w:tr>
      <w:tr>
        <w:tc>
          <w:tcPr>
            <w:tcW w:type="dxa" w:w="3"/>
            <w:tcW w:w="2200" w:type="dxa"/>
            <w:shd w:fill="F9F9F7"/>
            <w:tcMar>
              <w:top w:w="60" w:type="dxa"/>
              <w:bottom w:w="60" w:type="dxa"/>
              <w:left w:w="100" w:type="dxa"/>
              <w:right w:w="100" w:type="dxa"/>
            </w:tcMar>
            <w:tcBorders>
              <w:top w:val="single" w:sz="4" w:space="0" w:color="D0D7D1"/>
              <w:left w:val="single" w:sz="4" w:space="0" w:color="D0D7D1"/>
              <w:bottom w:val="single" w:sz="4" w:space="0" w:color="D0D7D1"/>
              <w:right w:val="single" w:sz="4" w:space="0" w:color="D0D7D1"/>
            </w:tcBorders>
          </w:tcPr>
          <w:p>
            <w:pPr>
              <w:spacing w:after="0"/>
            </w:pPr>
            <w:r>
              <w:rPr>
                <w:rFonts w:ascii="Arial" w:hAnsi="Arial"/>
                <w:sz w:val="16"/>
              </w:rPr>
              <w:t>PHASE 1 (Mois 1)</w:t>
              <w:br/>
              <w:t>Fondations &amp; Governance</w:t>
            </w:r>
          </w:p>
        </w:tc>
        <w:tc>
          <w:tcPr>
            <w:tcW w:type="dxa" w:w="4"/>
            <w:tcW w:w="2600" w:type="dxa"/>
            <w:shd w:fill="F9F9F7"/>
            <w:tcMar>
              <w:top w:w="60" w:type="dxa"/>
              <w:bottom w:w="60" w:type="dxa"/>
              <w:left w:w="100" w:type="dxa"/>
              <w:right w:w="100" w:type="dxa"/>
            </w:tcMar>
            <w:tcBorders>
              <w:top w:val="single" w:sz="4" w:space="0" w:color="D0D7D1"/>
              <w:left w:val="single" w:sz="4" w:space="0" w:color="D0D7D1"/>
              <w:bottom w:val="single" w:sz="4" w:space="0" w:color="D0D7D1"/>
              <w:right w:val="single" w:sz="4" w:space="0" w:color="D0D7D1"/>
            </w:tcBorders>
          </w:tcPr>
          <w:p>
            <w:pPr>
              <w:spacing w:after="0"/>
            </w:pPr>
            <w:r>
              <w:rPr>
                <w:rFonts w:ascii="Arial" w:hAnsi="Arial"/>
                <w:sz w:val="16"/>
              </w:rPr>
              <w:t>Organiser la gouvernance, clarifier les rôles et intégrer la GED existante.</w:t>
            </w:r>
          </w:p>
        </w:tc>
        <w:tc>
          <w:tcPr>
            <w:tcW w:type="dxa" w:w="4"/>
            <w:tcW w:w="2600" w:type="dxa"/>
            <w:shd w:fill="F9F9F7"/>
            <w:tcMar>
              <w:top w:w="60" w:type="dxa"/>
              <w:bottom w:w="60" w:type="dxa"/>
              <w:left w:w="100" w:type="dxa"/>
              <w:right w:w="100" w:type="dxa"/>
            </w:tcMar>
            <w:tcBorders>
              <w:top w:val="single" w:sz="4" w:space="0" w:color="D0D7D1"/>
              <w:left w:val="single" w:sz="4" w:space="0" w:color="D0D7D1"/>
              <w:bottom w:val="single" w:sz="4" w:space="0" w:color="D0D7D1"/>
              <w:right w:val="single" w:sz="4" w:space="0" w:color="D0D7D1"/>
            </w:tcBorders>
          </w:tcPr>
          <w:p>
            <w:pPr>
              <w:spacing w:after="0"/>
            </w:pPr>
            <w:r>
              <w:rPr>
                <w:rFonts w:ascii="Arial" w:hAnsi="Arial"/>
                <w:sz w:val="16"/>
              </w:rPr>
              <w:t>[ Conserver les outils de stratégie existants / Déployer Outils 01 à 07 &amp; Outil 20 RACI ]</w:t>
            </w:r>
          </w:p>
        </w:tc>
        <w:tc>
          <w:tcPr>
            <w:tcW w:type="dxa" w:w="4"/>
            <w:tcW w:w="2800" w:type="dxa"/>
            <w:shd w:fill="F9F9F7"/>
            <w:tcMar>
              <w:top w:w="60" w:type="dxa"/>
              <w:bottom w:w="60" w:type="dxa"/>
              <w:left w:w="100" w:type="dxa"/>
              <w:right w:w="100" w:type="dxa"/>
            </w:tcMar>
            <w:tcBorders>
              <w:top w:val="single" w:sz="4" w:space="0" w:color="D0D7D1"/>
              <w:left w:val="single" w:sz="4" w:space="0" w:color="D0D7D1"/>
              <w:bottom w:val="single" w:sz="4" w:space="0" w:color="D0D7D1"/>
              <w:right w:val="single" w:sz="4" w:space="0" w:color="D0D7D1"/>
            </w:tcBorders>
          </w:tcPr>
          <w:p>
            <w:pPr>
              <w:spacing w:after="0"/>
            </w:pPr>
            <w:r>
              <w:rPr>
                <w:rFonts w:ascii="Arial" w:hAnsi="Arial"/>
                <w:sz w:val="16"/>
              </w:rPr>
              <w:t>Organigramme RACI émargé par la Direction.</w:t>
              <w:br/>
              <w:t>Arborescence GED validée.</w:t>
              <w:br/>
              <w:t>1er Tableau de Bord d'activité.</w:t>
            </w:r>
          </w:p>
        </w:tc>
      </w:tr>
      <w:tr>
        <w:tc>
          <w:tcPr>
            <w:tcW w:type="dxa" w:w="3"/>
            <w:tcW w:w="2200" w:type="dxa"/>
            <w:shd w:fill="FFFFFF"/>
            <w:tcMar>
              <w:top w:w="60" w:type="dxa"/>
              <w:bottom w:w="60" w:type="dxa"/>
              <w:left w:w="100" w:type="dxa"/>
              <w:right w:w="100" w:type="dxa"/>
            </w:tcMar>
            <w:tcBorders>
              <w:top w:val="single" w:sz="4" w:space="0" w:color="D0D7D1"/>
              <w:left w:val="single" w:sz="4" w:space="0" w:color="D0D7D1"/>
              <w:bottom w:val="single" w:sz="4" w:space="0" w:color="D0D7D1"/>
              <w:right w:val="single" w:sz="4" w:space="0" w:color="D0D7D1"/>
            </w:tcBorders>
          </w:tcPr>
          <w:p>
            <w:pPr>
              <w:spacing w:after="0"/>
            </w:pPr>
            <w:r>
              <w:rPr>
                <w:rFonts w:ascii="Arial" w:hAnsi="Arial"/>
                <w:sz w:val="16"/>
              </w:rPr>
              <w:t>PHASE 2 (Mois 2-3)</w:t>
              <w:br/>
              <w:t>Flux Ventes &amp; Fab</w:t>
            </w:r>
          </w:p>
        </w:tc>
        <w:tc>
          <w:tcPr>
            <w:tcW w:type="dxa" w:w="4"/>
            <w:tcW w:w="2600" w:type="dxa"/>
            <w:shd w:fill="FFFFFF"/>
            <w:tcMar>
              <w:top w:w="60" w:type="dxa"/>
              <w:bottom w:w="60" w:type="dxa"/>
              <w:left w:w="100" w:type="dxa"/>
              <w:right w:w="100" w:type="dxa"/>
            </w:tcMar>
            <w:tcBorders>
              <w:top w:val="single" w:sz="4" w:space="0" w:color="D0D7D1"/>
              <w:left w:val="single" w:sz="4" w:space="0" w:color="D0D7D1"/>
              <w:bottom w:val="single" w:sz="4" w:space="0" w:color="D0D7D1"/>
              <w:right w:val="single" w:sz="4" w:space="0" w:color="D0D7D1"/>
            </w:tcBorders>
          </w:tcPr>
          <w:p>
            <w:pPr>
              <w:spacing w:after="0"/>
            </w:pPr>
            <w:r>
              <w:rPr>
                <w:rFonts w:ascii="Arial" w:hAnsi="Arial"/>
                <w:sz w:val="16"/>
              </w:rPr>
              <w:t>Sécuriser les devis, encadrer la sous-traitance et formaliser les pratiques clés.</w:t>
            </w:r>
          </w:p>
        </w:tc>
        <w:tc>
          <w:tcPr>
            <w:tcW w:type="dxa" w:w="4"/>
            <w:tcW w:w="2600" w:type="dxa"/>
            <w:shd w:fill="FFFFFF"/>
            <w:tcMar>
              <w:top w:w="60" w:type="dxa"/>
              <w:bottom w:w="60" w:type="dxa"/>
              <w:left w:w="100" w:type="dxa"/>
              <w:right w:w="100" w:type="dxa"/>
            </w:tcMar>
            <w:tcBorders>
              <w:top w:val="single" w:sz="4" w:space="0" w:color="D0D7D1"/>
              <w:left w:val="single" w:sz="4" w:space="0" w:color="D0D7D1"/>
              <w:bottom w:val="single" w:sz="4" w:space="0" w:color="D0D7D1"/>
              <w:right w:val="single" w:sz="4" w:space="0" w:color="D0D7D1"/>
            </w:tcBorders>
          </w:tcPr>
          <w:p>
            <w:pPr>
              <w:spacing w:after="0"/>
            </w:pPr>
            <w:r>
              <w:rPr>
                <w:rFonts w:ascii="Arial" w:hAnsi="Arial"/>
                <w:sz w:val="16"/>
              </w:rPr>
              <w:t>[ Intégrer les grilles devis/fournisseurs existantes ou Outils 08, 09, 14, 16 ]</w:t>
            </w:r>
          </w:p>
        </w:tc>
        <w:tc>
          <w:tcPr>
            <w:tcW w:type="dxa" w:w="4"/>
            <w:tcW w:w="2800" w:type="dxa"/>
            <w:shd w:fill="FFFFFF"/>
            <w:tcMar>
              <w:top w:w="60" w:type="dxa"/>
              <w:bottom w:w="60" w:type="dxa"/>
              <w:left w:w="100" w:type="dxa"/>
              <w:right w:w="100" w:type="dxa"/>
            </w:tcMar>
            <w:tcBorders>
              <w:top w:val="single" w:sz="4" w:space="0" w:color="D0D7D1"/>
              <w:left w:val="single" w:sz="4" w:space="0" w:color="D0D7D1"/>
              <w:bottom w:val="single" w:sz="4" w:space="0" w:color="D0D7D1"/>
              <w:right w:val="single" w:sz="4" w:space="0" w:color="D0D7D1"/>
            </w:tcBorders>
          </w:tcPr>
          <w:p>
            <w:pPr>
              <w:spacing w:after="0"/>
            </w:pPr>
            <w:r>
              <w:rPr>
                <w:rFonts w:ascii="Arial" w:hAnsi="Arial"/>
                <w:sz w:val="16"/>
              </w:rPr>
              <w:t>Procédures Ventes &amp; Achats adaptées au contexte.</w:t>
              <w:br/>
              <w:t>Gammes visuelles validées aux postes.</w:t>
            </w:r>
          </w:p>
        </w:tc>
      </w:tr>
      <w:tr>
        <w:tc>
          <w:tcPr>
            <w:tcW w:type="dxa" w:w="3"/>
            <w:tcW w:w="2200" w:type="dxa"/>
            <w:shd w:fill="F9F9F7"/>
            <w:tcMar>
              <w:top w:w="60" w:type="dxa"/>
              <w:bottom w:w="60" w:type="dxa"/>
              <w:left w:w="100" w:type="dxa"/>
              <w:right w:w="100" w:type="dxa"/>
            </w:tcMar>
            <w:tcBorders>
              <w:top w:val="single" w:sz="4" w:space="0" w:color="D0D7D1"/>
              <w:left w:val="single" w:sz="4" w:space="0" w:color="D0D7D1"/>
              <w:bottom w:val="single" w:sz="4" w:space="0" w:color="D0D7D1"/>
              <w:right w:val="single" w:sz="4" w:space="0" w:color="D0D7D1"/>
            </w:tcBorders>
          </w:tcPr>
          <w:p>
            <w:pPr>
              <w:spacing w:after="0"/>
            </w:pPr>
            <w:r>
              <w:rPr>
                <w:rFonts w:ascii="Arial" w:hAnsi="Arial"/>
                <w:sz w:val="16"/>
              </w:rPr>
              <w:t>PHASE 3 (Mois 4+)</w:t>
              <w:br/>
              <w:t>Amélioration &amp; Audit</w:t>
            </w:r>
          </w:p>
        </w:tc>
        <w:tc>
          <w:tcPr>
            <w:tcW w:type="dxa" w:w="4"/>
            <w:tcW w:w="2600" w:type="dxa"/>
            <w:shd w:fill="F9F9F7"/>
            <w:tcMar>
              <w:top w:w="60" w:type="dxa"/>
              <w:bottom w:w="60" w:type="dxa"/>
              <w:left w:w="100" w:type="dxa"/>
              <w:right w:w="100" w:type="dxa"/>
            </w:tcMar>
            <w:tcBorders>
              <w:top w:val="single" w:sz="4" w:space="0" w:color="D0D7D1"/>
              <w:left w:val="single" w:sz="4" w:space="0" w:color="D0D7D1"/>
              <w:bottom w:val="single" w:sz="4" w:space="0" w:color="D0D7D1"/>
              <w:right w:val="single" w:sz="4" w:space="0" w:color="D0D7D1"/>
            </w:tcBorders>
          </w:tcPr>
          <w:p>
            <w:pPr>
              <w:spacing w:after="0"/>
            </w:pPr>
            <w:r>
              <w:rPr>
                <w:rFonts w:ascii="Arial" w:hAnsi="Arial"/>
                <w:sz w:val="16"/>
              </w:rPr>
              <w:t>Résoudre les défaillances récurrentes, automatiser les KPIs et piloter les audits.</w:t>
            </w:r>
          </w:p>
        </w:tc>
        <w:tc>
          <w:tcPr>
            <w:tcW w:type="dxa" w:w="4"/>
            <w:tcW w:w="2600" w:type="dxa"/>
            <w:shd w:fill="F9F9F7"/>
            <w:tcMar>
              <w:top w:w="60" w:type="dxa"/>
              <w:bottom w:w="60" w:type="dxa"/>
              <w:left w:w="100" w:type="dxa"/>
              <w:right w:w="100" w:type="dxa"/>
            </w:tcMar>
            <w:tcBorders>
              <w:top w:val="single" w:sz="4" w:space="0" w:color="D0D7D1"/>
              <w:left w:val="single" w:sz="4" w:space="0" w:color="D0D7D1"/>
              <w:bottom w:val="single" w:sz="4" w:space="0" w:color="D0D7D1"/>
              <w:right w:val="single" w:sz="4" w:space="0" w:color="D0D7D1"/>
            </w:tcBorders>
          </w:tcPr>
          <w:p>
            <w:pPr>
              <w:spacing w:after="0"/>
            </w:pPr>
            <w:r>
              <w:rPr>
                <w:rFonts w:ascii="Arial" w:hAnsi="Arial"/>
                <w:sz w:val="16"/>
              </w:rPr>
              <w:t>[ Intégrer l'ERP client ou Déployer Outils 19, 26, 27 &amp; Outils Annexes A1-A10 ]</w:t>
            </w:r>
          </w:p>
        </w:tc>
        <w:tc>
          <w:tcPr>
            <w:tcW w:type="dxa" w:w="4"/>
            <w:tcW w:w="2800" w:type="dxa"/>
            <w:shd w:fill="F9F9F7"/>
            <w:tcMar>
              <w:top w:w="60" w:type="dxa"/>
              <w:bottom w:w="60" w:type="dxa"/>
              <w:left w:w="100" w:type="dxa"/>
              <w:right w:w="100" w:type="dxa"/>
            </w:tcMar>
            <w:tcBorders>
              <w:top w:val="single" w:sz="4" w:space="0" w:color="D0D7D1"/>
              <w:left w:val="single" w:sz="4" w:space="0" w:color="D0D7D1"/>
              <w:bottom w:val="single" w:sz="4" w:space="0" w:color="D0D7D1"/>
              <w:right w:val="single" w:sz="4" w:space="0" w:color="D0D7D1"/>
            </w:tcBorders>
          </w:tcPr>
          <w:p>
            <w:pPr>
              <w:spacing w:after="0"/>
            </w:pPr>
            <w:r>
              <w:rPr>
                <w:rFonts w:ascii="Arial" w:hAnsi="Arial"/>
                <w:sz w:val="16"/>
              </w:rPr>
              <w:t>Traitement des non-conformités aux causes racines.</w:t>
              <w:br/>
              <w:t>Revues de direction régulières et préparation d'audit.</w:t>
            </w:r>
          </w:p>
        </w:tc>
      </w:tr>
    </w:tbl>
    <w:p>
      <w:pPr>
        <w:spacing w:after="120"/>
      </w:pPr>
    </w:p>
    <w:p>
      <w:r>
        <w:rPr>
          <w:rFonts w:ascii="Georgia" w:hAnsi="Georgia"/>
          <w:b/>
          <w:color w:val="1B4D3E"/>
          <w:sz w:val="24"/>
        </w:rPr>
        <w:t>3. RÈGLES DE GOUVERNANCE &amp; SOUPLESSE MANAGÉRIALE</w:t>
      </w:r>
    </w:p>
    <w:p>
      <w:pPr>
        <w:spacing w:after="40"/>
      </w:pPr>
      <w:r>
        <w:rPr>
          <w:rFonts w:ascii="Arial" w:hAnsi="Arial"/>
          <w:sz w:val="17"/>
        </w:rPr>
        <w:t>1. Principe de Sobriété Documentaire : Aucun document n'est créé si un outil existant couvre déjà efficacement l'exigence.</w:t>
      </w:r>
    </w:p>
    <w:p>
      <w:pPr>
        <w:spacing w:after="40"/>
      </w:pPr>
      <w:r>
        <w:rPr>
          <w:rFonts w:ascii="Arial" w:hAnsi="Arial"/>
          <w:sz w:val="17"/>
        </w:rPr>
        <w:t>2. Règle du Seuil de Rentabilité : Adaptable selon les arbitrages financiers définis avec la Direction du client.</w:t>
      </w:r>
    </w:p>
    <w:p>
      <w:pPr>
        <w:spacing w:after="40"/>
      </w:pPr>
      <w:r>
        <w:rPr>
          <w:rFonts w:ascii="Arial" w:hAnsi="Arial"/>
          <w:sz w:val="17"/>
        </w:rPr>
        <w:t>3. Règle de l'Amélioration Continue : Priorité au traitement des dysfonctionnements réels du terrain.</w:t>
      </w:r>
    </w:p>
    <w:p>
      <w:pPr>
        <w:spacing w:after="40"/>
      </w:pPr>
      <w:r>
        <w:rPr>
          <w:rFonts w:ascii="Arial" w:hAnsi="Arial"/>
          <w:sz w:val="17"/>
        </w:rPr>
        <w:t>4. Règle des Rituels d'Animation : Adaptation du rythme des réunions de suivi selon la disponibilité et la culture interne de l'entreprise.</w:t>
      </w:r>
    </w:p>
    <w:p>
      <w:r>
        <w:rPr>
          <w:rFonts w:ascii="Georgia" w:hAnsi="Georgia"/>
          <w:b/>
          <w:color w:val="1B4D3E"/>
          <w:sz w:val="24"/>
        </w:rPr>
        <w:t>4. STRATÉGIE D'ALIGNEMENT ORGANISATIONNEL &amp; CONDUITE DU CHANGEMENT</w:t>
      </w:r>
    </w:p>
    <w:tbl>
      <w:tblPr>
        <w:tblW w:type="auto" w:w="0"/>
        <w:jc w:val="center"/>
        <w:tblLayout w:type="fixed"/>
        <w:tblLook w:firstColumn="1" w:firstRow="1" w:lastColumn="0" w:lastRow="0" w:noHBand="0" w:noVBand="1" w:val="04A0"/>
      </w:tblPr>
      <w:tblGrid>
        <w:gridCol w:w="2556"/>
        <w:gridCol w:w="2556"/>
        <w:gridCol w:w="2556"/>
        <w:gridCol w:w="2556"/>
      </w:tblGrid>
      <w:tr>
        <w:tc>
          <w:tcPr>
            <w:tcW w:type="dxa" w:w="3"/>
            <w:tcW w:w="2000" w:type="dxa"/>
            <w:shd w:fill="1B4D3E"/>
            <w:tcMar>
              <w:top w:w="60" w:type="dxa"/>
              <w:bottom w:w="60" w:type="dxa"/>
              <w:left w:w="50" w:type="dxa"/>
              <w:right w:w="50" w:type="dxa"/>
            </w:tcMar>
          </w:tcPr>
          <w:p>
            <w:r>
              <w:rPr>
                <w:rFonts w:ascii="Arial" w:hAnsi="Arial"/>
                <w:b/>
                <w:color w:val="FFFFFF"/>
                <w:sz w:val="16"/>
              </w:rPr>
              <w:t>Niveau d'Adhésion</w:t>
            </w:r>
          </w:p>
        </w:tc>
        <w:tc>
          <w:tcPr>
            <w:tcW w:type="dxa" w:w="4"/>
            <w:tcW w:w="2400" w:type="dxa"/>
            <w:shd w:fill="1B4D3E"/>
            <w:tcMar>
              <w:top w:w="60" w:type="dxa"/>
              <w:bottom w:w="60" w:type="dxa"/>
              <w:left w:w="50" w:type="dxa"/>
              <w:right w:w="50" w:type="dxa"/>
            </w:tcMar>
          </w:tcPr>
          <w:p>
            <w:r>
              <w:rPr>
                <w:rFonts w:ascii="Arial" w:hAnsi="Arial"/>
                <w:b/>
                <w:color w:val="FFFFFF"/>
                <w:sz w:val="16"/>
              </w:rPr>
              <w:t>Cible Collaborateurs</w:t>
            </w:r>
          </w:p>
        </w:tc>
        <w:tc>
          <w:tcPr>
            <w:tcW w:type="dxa" w:w="5"/>
            <w:tcW w:w="3200" w:type="dxa"/>
            <w:shd w:fill="1B4D3E"/>
            <w:tcMar>
              <w:top w:w="60" w:type="dxa"/>
              <w:bottom w:w="60" w:type="dxa"/>
              <w:left w:w="50" w:type="dxa"/>
              <w:right w:w="50" w:type="dxa"/>
            </w:tcMar>
          </w:tcPr>
          <w:p>
            <w:r>
              <w:rPr>
                <w:rFonts w:ascii="Arial" w:hAnsi="Arial"/>
                <w:b/>
                <w:color w:val="FFFFFF"/>
                <w:sz w:val="16"/>
              </w:rPr>
              <w:t>Modalité d'Accompagnement Adaptée</w:t>
            </w:r>
          </w:p>
        </w:tc>
        <w:tc>
          <w:tcPr>
            <w:tcW w:type="dxa" w:w="4"/>
            <w:tcW w:w="2600" w:type="dxa"/>
            <w:shd w:fill="1B4D3E"/>
            <w:tcMar>
              <w:top w:w="60" w:type="dxa"/>
              <w:bottom w:w="60" w:type="dxa"/>
              <w:left w:w="50" w:type="dxa"/>
              <w:right w:w="50" w:type="dxa"/>
            </w:tcMar>
          </w:tcPr>
          <w:p>
            <w:r>
              <w:rPr>
                <w:rFonts w:ascii="Arial" w:hAnsi="Arial"/>
                <w:b/>
                <w:color w:val="FFFFFF"/>
                <w:sz w:val="16"/>
              </w:rPr>
              <w:t>Engagement Attendu</w:t>
            </w:r>
          </w:p>
        </w:tc>
      </w:tr>
      <w:tr>
        <w:tc>
          <w:tcPr>
            <w:tcW w:type="dxa" w:w="3"/>
            <w:tcW w:w="2000" w:type="dxa"/>
            <w:shd w:fill="FFFFFF"/>
            <w:tcMar>
              <w:top w:w="50" w:type="dxa"/>
              <w:bottom w:w="50" w:type="dxa"/>
              <w:left w:w="50" w:type="dxa"/>
              <w:right w:w="50" w:type="dxa"/>
            </w:tcMar>
            <w:tcBorders>
              <w:top w:val="single" w:sz="4" w:space="0" w:color="D0D7D1"/>
              <w:left w:val="single" w:sz="4" w:space="0" w:color="D0D7D1"/>
              <w:bottom w:val="single" w:sz="4" w:space="0" w:color="D0D7D1"/>
              <w:right w:val="single" w:sz="4" w:space="0" w:color="D0D7D1"/>
            </w:tcBorders>
          </w:tcPr>
          <w:p>
            <w:pPr>
              <w:spacing w:after="0"/>
            </w:pPr>
            <w:r>
              <w:rPr>
                <w:rFonts w:ascii="Arial" w:hAnsi="Arial"/>
                <w:sz w:val="16"/>
              </w:rPr>
              <w:t>1. Information &amp; Sensibilisation</w:t>
            </w:r>
          </w:p>
        </w:tc>
        <w:tc>
          <w:tcPr>
            <w:tcW w:type="dxa" w:w="4"/>
            <w:tcW w:w="2400" w:type="dxa"/>
            <w:shd w:fill="FFFFFF"/>
            <w:tcMar>
              <w:top w:w="50" w:type="dxa"/>
              <w:bottom w:w="50" w:type="dxa"/>
              <w:left w:w="50" w:type="dxa"/>
              <w:right w:w="50" w:type="dxa"/>
            </w:tcMar>
            <w:tcBorders>
              <w:top w:val="single" w:sz="4" w:space="0" w:color="D0D7D1"/>
              <w:left w:val="single" w:sz="4" w:space="0" w:color="D0D7D1"/>
              <w:bottom w:val="single" w:sz="4" w:space="0" w:color="D0D7D1"/>
              <w:right w:val="single" w:sz="4" w:space="0" w:color="D0D7D1"/>
            </w:tcBorders>
          </w:tcPr>
          <w:p>
            <w:pPr>
              <w:spacing w:after="0"/>
            </w:pPr>
            <w:r>
              <w:rPr>
                <w:rFonts w:ascii="Arial" w:hAnsi="Arial"/>
                <w:sz w:val="16"/>
              </w:rPr>
              <w:t>Ensemble du Personnel</w:t>
            </w:r>
          </w:p>
        </w:tc>
        <w:tc>
          <w:tcPr>
            <w:tcW w:type="dxa" w:w="5"/>
            <w:tcW w:w="3200" w:type="dxa"/>
            <w:shd w:fill="FFFFFF"/>
            <w:tcMar>
              <w:top w:w="50" w:type="dxa"/>
              <w:bottom w:w="50" w:type="dxa"/>
              <w:left w:w="50" w:type="dxa"/>
              <w:right w:w="50" w:type="dxa"/>
            </w:tcMar>
            <w:tcBorders>
              <w:top w:val="single" w:sz="4" w:space="0" w:color="D0D7D1"/>
              <w:left w:val="single" w:sz="4" w:space="0" w:color="D0D7D1"/>
              <w:bottom w:val="single" w:sz="4" w:space="0" w:color="D0D7D1"/>
              <w:right w:val="single" w:sz="4" w:space="0" w:color="D0D7D1"/>
            </w:tcBorders>
          </w:tcPr>
          <w:p>
            <w:pPr>
              <w:spacing w:after="0"/>
            </w:pPr>
            <w:r>
              <w:rPr>
                <w:rFonts w:ascii="Arial" w:hAnsi="Arial"/>
                <w:sz w:val="16"/>
              </w:rPr>
              <w:t>Présentation des objectifs de la démarche et valorisation des acquis.</w:t>
            </w:r>
          </w:p>
        </w:tc>
        <w:tc>
          <w:tcPr>
            <w:tcW w:type="dxa" w:w="4"/>
            <w:tcW w:w="2600" w:type="dxa"/>
            <w:shd w:fill="FFFFFF"/>
            <w:tcMar>
              <w:top w:w="50" w:type="dxa"/>
              <w:bottom w:w="50" w:type="dxa"/>
              <w:left w:w="50" w:type="dxa"/>
              <w:right w:w="50" w:type="dxa"/>
            </w:tcMar>
            <w:tcBorders>
              <w:top w:val="single" w:sz="4" w:space="0" w:color="D0D7D1"/>
              <w:left w:val="single" w:sz="4" w:space="0" w:color="D0D7D1"/>
              <w:bottom w:val="single" w:sz="4" w:space="0" w:color="D0D7D1"/>
              <w:right w:val="single" w:sz="4" w:space="0" w:color="D0D7D1"/>
            </w:tcBorders>
          </w:tcPr>
          <w:p>
            <w:pPr>
              <w:spacing w:after="0"/>
            </w:pPr>
            <w:r>
              <w:rPr>
                <w:rFonts w:ascii="Arial" w:hAnsi="Arial"/>
                <w:sz w:val="16"/>
              </w:rPr>
              <w:t>Compréhension de la démarche et adhésion des équipes.</w:t>
            </w:r>
          </w:p>
        </w:tc>
      </w:tr>
      <w:tr>
        <w:tc>
          <w:tcPr>
            <w:tcW w:type="dxa" w:w="3"/>
            <w:tcW w:w="2000" w:type="dxa"/>
            <w:shd w:fill="F9F9F7"/>
            <w:tcMar>
              <w:top w:w="50" w:type="dxa"/>
              <w:bottom w:w="50" w:type="dxa"/>
              <w:left w:w="50" w:type="dxa"/>
              <w:right w:w="50" w:type="dxa"/>
            </w:tcMar>
            <w:tcBorders>
              <w:top w:val="single" w:sz="4" w:space="0" w:color="D0D7D1"/>
              <w:left w:val="single" w:sz="4" w:space="0" w:color="D0D7D1"/>
              <w:bottom w:val="single" w:sz="4" w:space="0" w:color="D0D7D1"/>
              <w:right w:val="single" w:sz="4" w:space="0" w:color="D0D7D1"/>
            </w:tcBorders>
          </w:tcPr>
          <w:p>
            <w:pPr>
              <w:spacing w:after="0"/>
            </w:pPr>
            <w:r>
              <w:rPr>
                <w:rFonts w:ascii="Arial" w:hAnsi="Arial"/>
                <w:sz w:val="16"/>
              </w:rPr>
              <w:t>2. Co-construction Terrain</w:t>
            </w:r>
          </w:p>
        </w:tc>
        <w:tc>
          <w:tcPr>
            <w:tcW w:type="dxa" w:w="4"/>
            <w:tcW w:w="2400" w:type="dxa"/>
            <w:shd w:fill="F9F9F7"/>
            <w:tcMar>
              <w:top w:w="50" w:type="dxa"/>
              <w:bottom w:w="50" w:type="dxa"/>
              <w:left w:w="50" w:type="dxa"/>
              <w:right w:w="50" w:type="dxa"/>
            </w:tcMar>
            <w:tcBorders>
              <w:top w:val="single" w:sz="4" w:space="0" w:color="D0D7D1"/>
              <w:left w:val="single" w:sz="4" w:space="0" w:color="D0D7D1"/>
              <w:bottom w:val="single" w:sz="4" w:space="0" w:color="D0D7D1"/>
              <w:right w:val="single" w:sz="4" w:space="0" w:color="D0D7D1"/>
            </w:tcBorders>
          </w:tcPr>
          <w:p>
            <w:pPr>
              <w:spacing w:after="0"/>
            </w:pPr>
            <w:r>
              <w:rPr>
                <w:rFonts w:ascii="Arial" w:hAnsi="Arial"/>
                <w:sz w:val="16"/>
              </w:rPr>
              <w:t>Opérateurs &amp; Chefs de Poste</w:t>
            </w:r>
          </w:p>
        </w:tc>
        <w:tc>
          <w:tcPr>
            <w:tcW w:type="dxa" w:w="5"/>
            <w:tcW w:w="3200" w:type="dxa"/>
            <w:shd w:fill="F9F9F7"/>
            <w:tcMar>
              <w:top w:w="50" w:type="dxa"/>
              <w:bottom w:w="50" w:type="dxa"/>
              <w:left w:w="50" w:type="dxa"/>
              <w:right w:w="50" w:type="dxa"/>
            </w:tcMar>
            <w:tcBorders>
              <w:top w:val="single" w:sz="4" w:space="0" w:color="D0D7D1"/>
              <w:left w:val="single" w:sz="4" w:space="0" w:color="D0D7D1"/>
              <w:bottom w:val="single" w:sz="4" w:space="0" w:color="D0D7D1"/>
              <w:right w:val="single" w:sz="4" w:space="0" w:color="D0D7D1"/>
            </w:tcBorders>
          </w:tcPr>
          <w:p>
            <w:pPr>
              <w:spacing w:after="0"/>
            </w:pPr>
            <w:r>
              <w:rPr>
                <w:rFonts w:ascii="Arial" w:hAnsi="Arial"/>
                <w:sz w:val="16"/>
              </w:rPr>
              <w:t>Ateliers participatifs de mise à jour des modes opératoires.</w:t>
            </w:r>
          </w:p>
        </w:tc>
        <w:tc>
          <w:tcPr>
            <w:tcW w:type="dxa" w:w="4"/>
            <w:tcW w:w="2600" w:type="dxa"/>
            <w:shd w:fill="F9F9F7"/>
            <w:tcMar>
              <w:top w:w="50" w:type="dxa"/>
              <w:bottom w:w="50" w:type="dxa"/>
              <w:left w:w="50" w:type="dxa"/>
              <w:right w:w="50" w:type="dxa"/>
            </w:tcMar>
            <w:tcBorders>
              <w:top w:val="single" w:sz="4" w:space="0" w:color="D0D7D1"/>
              <w:left w:val="single" w:sz="4" w:space="0" w:color="D0D7D1"/>
              <w:bottom w:val="single" w:sz="4" w:space="0" w:color="D0D7D1"/>
              <w:right w:val="single" w:sz="4" w:space="0" w:color="D0D7D1"/>
            </w:tcBorders>
          </w:tcPr>
          <w:p>
            <w:pPr>
              <w:spacing w:after="0"/>
            </w:pPr>
            <w:r>
              <w:rPr>
                <w:rFonts w:ascii="Arial" w:hAnsi="Arial"/>
                <w:sz w:val="16"/>
              </w:rPr>
              <w:t>Consignes de travail simples rédigées et validées avec le terrain.</w:t>
            </w:r>
          </w:p>
        </w:tc>
      </w:tr>
      <w:tr>
        <w:tc>
          <w:tcPr>
            <w:tcW w:type="dxa" w:w="3"/>
            <w:tcW w:w="2000" w:type="dxa"/>
            <w:shd w:fill="FFFFFF"/>
            <w:tcMar>
              <w:top w:w="50" w:type="dxa"/>
              <w:bottom w:w="50" w:type="dxa"/>
              <w:left w:w="50" w:type="dxa"/>
              <w:right w:w="50" w:type="dxa"/>
            </w:tcMar>
            <w:tcBorders>
              <w:top w:val="single" w:sz="4" w:space="0" w:color="D0D7D1"/>
              <w:left w:val="single" w:sz="4" w:space="0" w:color="D0D7D1"/>
              <w:bottom w:val="single" w:sz="4" w:space="0" w:color="D0D7D1"/>
              <w:right w:val="single" w:sz="4" w:space="0" w:color="D0D7D1"/>
            </w:tcBorders>
          </w:tcPr>
          <w:p>
            <w:pPr>
              <w:spacing w:after="0"/>
            </w:pPr>
            <w:r>
              <w:rPr>
                <w:rFonts w:ascii="Arial" w:hAnsi="Arial"/>
                <w:sz w:val="16"/>
              </w:rPr>
              <w:t>3. Accompagnement Manager</w:t>
            </w:r>
          </w:p>
        </w:tc>
        <w:tc>
          <w:tcPr>
            <w:tcW w:type="dxa" w:w="4"/>
            <w:tcW w:w="2400" w:type="dxa"/>
            <w:shd w:fill="FFFFFF"/>
            <w:tcMar>
              <w:top w:w="50" w:type="dxa"/>
              <w:bottom w:w="50" w:type="dxa"/>
              <w:left w:w="50" w:type="dxa"/>
              <w:right w:w="50" w:type="dxa"/>
            </w:tcMar>
            <w:tcBorders>
              <w:top w:val="single" w:sz="4" w:space="0" w:color="D0D7D1"/>
              <w:left w:val="single" w:sz="4" w:space="0" w:color="D0D7D1"/>
              <w:bottom w:val="single" w:sz="4" w:space="0" w:color="D0D7D1"/>
              <w:right w:val="single" w:sz="4" w:space="0" w:color="D0D7D1"/>
            </w:tcBorders>
          </w:tcPr>
          <w:p>
            <w:pPr>
              <w:spacing w:after="0"/>
            </w:pPr>
            <w:r>
              <w:rPr>
                <w:rFonts w:ascii="Arial" w:hAnsi="Arial"/>
                <w:sz w:val="16"/>
              </w:rPr>
              <w:t>Chefs de Services / Cadres</w:t>
            </w:r>
          </w:p>
        </w:tc>
        <w:tc>
          <w:tcPr>
            <w:tcW w:type="dxa" w:w="5"/>
            <w:tcW w:w="3200" w:type="dxa"/>
            <w:shd w:fill="FFFFFF"/>
            <w:tcMar>
              <w:top w:w="50" w:type="dxa"/>
              <w:bottom w:w="50" w:type="dxa"/>
              <w:left w:w="50" w:type="dxa"/>
              <w:right w:w="50" w:type="dxa"/>
            </w:tcMar>
            <w:tcBorders>
              <w:top w:val="single" w:sz="4" w:space="0" w:color="D0D7D1"/>
              <w:left w:val="single" w:sz="4" w:space="0" w:color="D0D7D1"/>
              <w:bottom w:val="single" w:sz="4" w:space="0" w:color="D0D7D1"/>
              <w:right w:val="single" w:sz="4" w:space="0" w:color="D0D7D1"/>
            </w:tcBorders>
          </w:tcPr>
          <w:p>
            <w:pPr>
              <w:spacing w:after="0"/>
            </w:pPr>
            <w:r>
              <w:rPr>
                <w:rFonts w:ascii="Arial" w:hAnsi="Arial"/>
                <w:sz w:val="16"/>
              </w:rPr>
              <w:t>Formation au pilotage par la preuve et à l'animation des rituels d'équipe.</w:t>
            </w:r>
          </w:p>
        </w:tc>
        <w:tc>
          <w:tcPr>
            <w:tcW w:type="dxa" w:w="4"/>
            <w:tcW w:w="2600" w:type="dxa"/>
            <w:shd w:fill="FFFFFF"/>
            <w:tcMar>
              <w:top w:w="50" w:type="dxa"/>
              <w:bottom w:w="50" w:type="dxa"/>
              <w:left w:w="50" w:type="dxa"/>
              <w:right w:w="50" w:type="dxa"/>
            </w:tcMar>
            <w:tcBorders>
              <w:top w:val="single" w:sz="4" w:space="0" w:color="D0D7D1"/>
              <w:left w:val="single" w:sz="4" w:space="0" w:color="D0D7D1"/>
              <w:bottom w:val="single" w:sz="4" w:space="0" w:color="D0D7D1"/>
              <w:right w:val="single" w:sz="4" w:space="0" w:color="D0D7D1"/>
            </w:tcBorders>
          </w:tcPr>
          <w:p>
            <w:pPr>
              <w:spacing w:after="0"/>
            </w:pPr>
            <w:r>
              <w:rPr>
                <w:rFonts w:ascii="Arial" w:hAnsi="Arial"/>
                <w:sz w:val="16"/>
              </w:rPr>
              <w:t>Autonomie managériale et traitement réactif des irritants.</w:t>
            </w:r>
          </w:p>
        </w:tc>
      </w:tr>
      <w:tr>
        <w:tc>
          <w:tcPr>
            <w:tcW w:type="dxa" w:w="3"/>
            <w:tcW w:w="2000" w:type="dxa"/>
            <w:shd w:fill="F9F9F7"/>
            <w:tcMar>
              <w:top w:w="50" w:type="dxa"/>
              <w:bottom w:w="50" w:type="dxa"/>
              <w:left w:w="50" w:type="dxa"/>
              <w:right w:w="50" w:type="dxa"/>
            </w:tcMar>
            <w:tcBorders>
              <w:top w:val="single" w:sz="4" w:space="0" w:color="D0D7D1"/>
              <w:left w:val="single" w:sz="4" w:space="0" w:color="D0D7D1"/>
              <w:bottom w:val="single" w:sz="4" w:space="0" w:color="D0D7D1"/>
              <w:right w:val="single" w:sz="4" w:space="0" w:color="D0D7D1"/>
            </w:tcBorders>
          </w:tcPr>
          <w:p>
            <w:pPr>
              <w:spacing w:after="0"/>
            </w:pPr>
            <w:r>
              <w:rPr>
                <w:rFonts w:ascii="Arial" w:hAnsi="Arial"/>
                <w:sz w:val="16"/>
              </w:rPr>
              <w:t>4. Ancrage &amp; Pérennité</w:t>
            </w:r>
          </w:p>
        </w:tc>
        <w:tc>
          <w:tcPr>
            <w:tcW w:type="dxa" w:w="4"/>
            <w:tcW w:w="2400" w:type="dxa"/>
            <w:shd w:fill="F9F9F7"/>
            <w:tcMar>
              <w:top w:w="50" w:type="dxa"/>
              <w:bottom w:w="50" w:type="dxa"/>
              <w:left w:w="50" w:type="dxa"/>
              <w:right w:w="50" w:type="dxa"/>
            </w:tcMar>
            <w:tcBorders>
              <w:top w:val="single" w:sz="4" w:space="0" w:color="D0D7D1"/>
              <w:left w:val="single" w:sz="4" w:space="0" w:color="D0D7D1"/>
              <w:bottom w:val="single" w:sz="4" w:space="0" w:color="D0D7D1"/>
              <w:right w:val="single" w:sz="4" w:space="0" w:color="D0D7D1"/>
            </w:tcBorders>
          </w:tcPr>
          <w:p>
            <w:pPr>
              <w:spacing w:after="0"/>
            </w:pPr>
            <w:r>
              <w:rPr>
                <w:rFonts w:ascii="Arial" w:hAnsi="Arial"/>
                <w:sz w:val="16"/>
              </w:rPr>
              <w:t>CODIR &amp; Direction</w:t>
            </w:r>
          </w:p>
        </w:tc>
        <w:tc>
          <w:tcPr>
            <w:tcW w:type="dxa" w:w="5"/>
            <w:tcW w:w="3200" w:type="dxa"/>
            <w:shd w:fill="F9F9F7"/>
            <w:tcMar>
              <w:top w:w="50" w:type="dxa"/>
              <w:bottom w:w="50" w:type="dxa"/>
              <w:left w:w="50" w:type="dxa"/>
              <w:right w:w="50" w:type="dxa"/>
            </w:tcMar>
            <w:tcBorders>
              <w:top w:val="single" w:sz="4" w:space="0" w:color="D0D7D1"/>
              <w:left w:val="single" w:sz="4" w:space="0" w:color="D0D7D1"/>
              <w:bottom w:val="single" w:sz="4" w:space="0" w:color="D0D7D1"/>
              <w:right w:val="single" w:sz="4" w:space="0" w:color="D0D7D1"/>
            </w:tcBorders>
          </w:tcPr>
          <w:p>
            <w:pPr>
              <w:spacing w:after="0"/>
            </w:pPr>
            <w:r>
              <w:rPr>
                <w:rFonts w:ascii="Arial" w:hAnsi="Arial"/>
                <w:sz w:val="16"/>
              </w:rPr>
              <w:t>Revues de gouvernance adaptées au rythme de l'entreprise.</w:t>
            </w:r>
          </w:p>
        </w:tc>
        <w:tc>
          <w:tcPr>
            <w:tcW w:type="dxa" w:w="4"/>
            <w:tcW w:w="2600" w:type="dxa"/>
            <w:shd w:fill="F9F9F7"/>
            <w:tcMar>
              <w:top w:w="50" w:type="dxa"/>
              <w:bottom w:w="50" w:type="dxa"/>
              <w:left w:w="50" w:type="dxa"/>
              <w:right w:w="50" w:type="dxa"/>
            </w:tcMar>
            <w:tcBorders>
              <w:top w:val="single" w:sz="4" w:space="0" w:color="D0D7D1"/>
              <w:left w:val="single" w:sz="4" w:space="0" w:color="D0D7D1"/>
              <w:bottom w:val="single" w:sz="4" w:space="0" w:color="D0D7D1"/>
              <w:right w:val="single" w:sz="4" w:space="0" w:color="D0D7D1"/>
            </w:tcBorders>
          </w:tcPr>
          <w:p>
            <w:pPr>
              <w:spacing w:after="0"/>
            </w:pPr>
            <w:r>
              <w:rPr>
                <w:rFonts w:ascii="Arial" w:hAnsi="Arial"/>
                <w:sz w:val="16"/>
              </w:rPr>
              <w:t>Pérennisation du système Qualité et amélioration continue.</w:t>
            </w:r>
          </w:p>
        </w:tc>
      </w:tr>
    </w:tbl>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555555"/>
        <w:sz w:val="17"/>
      </w:rPr>
      <w:t>Cabinet Delacour • delacour.melchior@cabinetdelacour.com</w:t>
      <w:tab/>
      <w:tab/>
      <w:t xml:space="preserve">Page </w:t>
    </w:r>
    <w:r>
      <w:fldChar w:fldCharType="begin"/>
    </w:r>
    <w:r>
      <w:instrText xml:space="preserve"> PAGE </w:instrText>
    </w:r>
    <w:r>
      <w:fldChar w:fldCharType="separate"/>
    </w:r>
    <w:r>
      <w:fldChar w:fldCharType="end"/>
    </w:r>
    <w:r>
      <w:rPr>
        <w:rFonts w:ascii="Arial" w:hAnsi="Arial"/>
        <w:color w:val="555555"/>
        <w:sz w:val="17"/>
      </w:rPr>
      <w:t xml:space="preserve"> / </w:t>
    </w:r>
    <w:r>
      <w:fldChar w:fldCharType="begin"/>
    </w:r>
    <w:r>
      <w:instrText xml:space="preserve"> NUMPAGES </w:instrText>
    </w:r>
    <w:r>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6492240" cy="474319"/>
          <wp:docPr id="1" name="Picture 1"/>
          <wp:cNvGraphicFramePr>
            <a:graphicFrameLocks noChangeAspect="1"/>
          </wp:cNvGraphicFramePr>
          <a:graphic>
            <a:graphicData uri="http://schemas.openxmlformats.org/drawingml/2006/picture">
              <pic:pic>
                <pic:nvPicPr>
                  <pic:cNvPr id="0" name="header_brand_unified_hd.png"/>
                  <pic:cNvPicPr/>
                </pic:nvPicPr>
                <pic:blipFill>
                  <a:blip r:embed="rId1"/>
                  <a:stretch>
                    <a:fillRect/>
                  </a:stretch>
                </pic:blipFill>
                <pic:spPr>
                  <a:xfrm>
                    <a:off x="0" y="0"/>
                    <a:ext cx="6492240" cy="47431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