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Georgia" w:hAnsi="Georgia"/>
          <w:b/>
          <w:color w:val="1B4D3E"/>
          <w:sz w:val="34"/>
        </w:rPr>
        <w:t>RAPPORT D'AUDIT SMQ ET FEUILLE DE ROUTE STRATÉGIQUE PME</w:t>
      </w:r>
    </w:p>
    <w:p>
      <w:pPr>
        <w:spacing w:after="240"/>
      </w:pPr>
      <w:r>
        <w:rPr>
          <w:rFonts w:ascii="Arial" w:hAnsi="Arial"/>
          <w:i/>
          <w:color w:val="C5A065"/>
          <w:sz w:val="22"/>
        </w:rPr>
        <w:t>Diagnostic d'Organisation PME (10-50 salariés), Valorisation de l'Existant &amp; Plan Pragmatisme Zéro Bureaucratie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8"/>
            <w:tcW w:w="5100" w:type="dxa"/>
            <w:shd w:fill="F9F9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7"/>
              </w:rPr>
              <w:t>Entreprise auditée : Société DÉMONSTRATION SAS (25 salariés)</w:t>
            </w:r>
          </w:p>
        </w:tc>
        <w:tc>
          <w:tcPr>
            <w:tcW w:type="dxa" w:w="8"/>
            <w:tcW w:w="5100" w:type="dxa"/>
            <w:shd w:fill="F9F9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7"/>
              </w:rPr>
              <w:t>Date d'émission : 25/08/2026</w:t>
            </w:r>
          </w:p>
        </w:tc>
      </w:tr>
      <w:tr>
        <w:tc>
          <w:tcPr>
            <w:tcW w:type="dxa" w:w="8"/>
            <w:tcW w:w="5100" w:type="dxa"/>
            <w:shd w:fill="F9F9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7"/>
              </w:rPr>
              <w:t>Dirigeant / Décideur d'entreprise : Direction Générale</w:t>
            </w:r>
          </w:p>
        </w:tc>
        <w:tc>
          <w:tcPr>
            <w:tcW w:type="dxa" w:w="8"/>
            <w:tcW w:w="5100" w:type="dxa"/>
            <w:shd w:fill="F9F9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7"/>
              </w:rPr>
              <w:t>Auditeur &amp; Cabinet : Melchior Delacour • Cabinet Delacour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Georgia" w:hAnsi="Georgia"/>
          <w:b/>
          <w:color w:val="1B4D3E"/>
          <w:sz w:val="26"/>
        </w:rPr>
        <w:t>1. SYNTHÈSE EXÉCUTIVE ET SCORE GLOBAL DE MATURITÉ PME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6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0D7D1"/>
              <w:left w:val="single" w:sz="24" w:space="0" w:color="1B4D3E"/>
              <w:bottom w:val="single" w:sz="4" w:space="0" w:color="D0D7D1"/>
              <w:right w:val="single" w:sz="4" w:space="0" w:color="D0D7D1"/>
            </w:tcBorders>
          </w:tcPr>
          <w:p>
            <w:pPr>
              <w:spacing w:after="80"/>
            </w:pPr>
            <w:r>
              <w:rPr>
                <w:rFonts w:ascii="Arial" w:hAnsi="Arial"/>
                <w:sz w:val="17"/>
              </w:rPr>
              <w:t>OBJECTIFS DE LA MISSION AUDIT SMQ DELACOUR :</w:t>
              <w:br/>
              <w:t>1. Évaluer objectivement l'organisation de votre PME face aux 29 exigences de la grille SMQ Delacour &amp; ISO 9001:2015.</w:t>
              <w:br/>
              <w:t>2. Éliminer les pertes de marge, sécuriser le savoir-faire et libérer du temps pour vos managers.</w:t>
              <w:br/>
              <w:t>3. Co-construire un plan d'action d'une simplicité absolue, garanti 'Zéro Bureaucratie'.</w:t>
              <w:br/>
              <w:br/>
              <w:t>• Score de Maturité Global : 0 / 87 points (Taux de maturité : 0.0 % - 🔴 Zone Rouge).</w:t>
              <w:br/>
              <w:t>• Estimation des Gains Potentiels : ~12 à 15 heures / semaine de travail administratif libérées pour vos managers.</w:t>
              <w:br/>
              <w:t>• Engagement Pragmatisme : Chaque outil déployé tient sur 1 page maximum et s'intègre directement à votre quotidien.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Georgia" w:hAnsi="Georgia"/>
          <w:b/>
          <w:color w:val="1B4D3E"/>
          <w:sz w:val="22"/>
        </w:rPr>
        <w:t>TOP 3 DES ACTIONS IMMÉDIATES CETTE SEMAINE (QUICK WINS 15J)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6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5A065"/>
              <w:left w:val="single" w:sz="24" w:space="0" w:color="1B4D3E"/>
              <w:bottom w:val="single" w:sz="4" w:space="0" w:color="D0D7D1"/>
              <w:right w:val="single" w:sz="4" w:space="0" w:color="D0D7D1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 xml:space="preserve">[PRIORITÉ 1 • COMMERCIAL &amp; MARGES]  </w:t>
            </w:r>
            <w:r>
              <w:rPr>
                <w:rFonts w:ascii="Georgia" w:hAnsi="Georgia"/>
                <w:b/>
                <w:color w:val="1B4D3E"/>
                <w:sz w:val="20"/>
              </w:rPr>
              <w:t>Secourisme de Marge : Validation Obligatoire des Devis</w:t>
              <w:br/>
            </w:r>
            <w:r>
              <w:rPr>
                <w:rFonts w:ascii="Arial" w:hAnsi="Arial"/>
                <w:sz w:val="16"/>
              </w:rPr>
              <w:t>• Constat &amp; Risque : Devis transmis et signés sans grille de calcul de marge brute préalable (Risque de perte de marge brute de 5% à 15% par contrat).</w:t>
              <w:br/>
              <w:t>• Action &amp; Outil : Déploiement de l'Outil 08 Delacour (Grille de validation des devis avec seuil de rentabilité obligatoire avant signature).</w:t>
              <w:br/>
              <w:t>• 🔴 Horizon : 15 jours  |  Bénéfice ROI : Stop immédiat aux ventes à perte et protection des marges.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6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5A065"/>
              <w:left w:val="single" w:sz="24" w:space="0" w:color="1B4D3E"/>
              <w:bottom w:val="single" w:sz="4" w:space="0" w:color="D0D7D1"/>
              <w:right w:val="single" w:sz="4" w:space="0" w:color="D0D7D1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 xml:space="preserve">[PRIORITÉ 2 • QUALITÉ TERRAIN &amp; ATELIER]  </w:t>
            </w:r>
            <w:r>
              <w:rPr>
                <w:rFonts w:ascii="Georgia" w:hAnsi="Georgia"/>
                <w:b/>
                <w:color w:val="1B4D3E"/>
                <w:sz w:val="20"/>
              </w:rPr>
              <w:t>Standardisation d'Exécution : Gammes Visuelles d'Atelier</w:t>
              <w:br/>
            </w:r>
            <w:r>
              <w:rPr>
                <w:rFonts w:ascii="Arial" w:hAnsi="Arial"/>
                <w:sz w:val="16"/>
              </w:rPr>
              <w:t>• Constat &amp; Risque : Consignes d'exécution orales créant une variabilité forte et des retouches coûteuses sur les produits/prestations.</w:t>
              <w:br/>
              <w:t>• Action &amp; Outil : Formalisation de l'Outil 14 Delacour (Gammes opératoires visuelles simplifiées sur 1 page affichées au poste).</w:t>
              <w:br/>
              <w:t>• 🔴 Horizon : 15 jours  |  Bénéfice ROI : Élimination des retouches et gain de sérénité pour les équipes.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6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5A065"/>
              <w:left w:val="single" w:sz="24" w:space="0" w:color="1B4D3E"/>
              <w:bottom w:val="single" w:sz="4" w:space="0" w:color="D0D7D1"/>
              <w:right w:val="single" w:sz="4" w:space="0" w:color="D0D7D1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 xml:space="preserve">[PRIORITÉ 3 • SOUVERAINETÉ &amp; HOMMES-CLÉS]  </w:t>
            </w:r>
            <w:r>
              <w:rPr>
                <w:rFonts w:ascii="Georgia" w:hAnsi="Georgia"/>
                <w:b/>
                <w:color w:val="1B4D3E"/>
                <w:sz w:val="20"/>
              </w:rPr>
              <w:t>Sécurisation du Savoir : Matrice RACI &amp; Plan de Polyvalence</w:t>
              <w:br/>
            </w:r>
            <w:r>
              <w:rPr>
                <w:rFonts w:ascii="Arial" w:hAnsi="Arial"/>
                <w:sz w:val="16"/>
              </w:rPr>
              <w:t>• Constat &amp; Risque : Dépendance exclusive envers 3 hommes-clés sans suppléance définie (Vulnérabilité d'arrêt d'activité en cas d'absence).</w:t>
              <w:br/>
              <w:t>• Action &amp; Outil : Mise en place de l'Outil 20 Delacour (Matrice RACI des responsabilités et plan de polyvalence des compétences).</w:t>
              <w:br/>
              <w:t>• 🔴 Horizon : 15 jours  |  Bénéfice ROI : Suppression de la dépendance aux hommes-clés et continuité de service.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"/>
            <w:tcW w:w="2800" w:type="dxa"/>
            <w:shd w:fill="1B4D3E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Pilier d'Évaluation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Exigences Audités</w:t>
            </w:r>
          </w:p>
        </w:tc>
        <w:tc>
          <w:tcPr>
            <w:tcW w:type="dxa" w:w="2"/>
            <w:tcW w:w="1300" w:type="dxa"/>
            <w:shd w:fill="1B4D3E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Score Max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Score Obtenu</w:t>
            </w:r>
          </w:p>
        </w:tc>
        <w:tc>
          <w:tcPr>
            <w:tcW w:type="dxa" w:w="2"/>
            <w:tcW w:w="1500" w:type="dxa"/>
            <w:shd w:fill="1B4D3E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Taux de Maturité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Niveau Constaté</w:t>
            </w:r>
          </w:p>
        </w:tc>
      </w:tr>
      <w:tr>
        <w:tc>
          <w:tcPr>
            <w:tcW w:type="dxa" w:w="4"/>
            <w:tcW w:w="28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Pilier 1 : Maîtrise des Risques &amp; Pertes</w:t>
            </w:r>
          </w:p>
        </w:tc>
        <w:tc>
          <w:tcPr>
            <w:tcW w:type="dxa" w:w="2"/>
            <w:tcW w:w="14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11 Clauses</w:t>
            </w:r>
          </w:p>
        </w:tc>
        <w:tc>
          <w:tcPr>
            <w:tcW w:type="dxa" w:w="2"/>
            <w:tcW w:w="13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33 Points</w:t>
            </w:r>
          </w:p>
        </w:tc>
        <w:tc>
          <w:tcPr>
            <w:tcW w:type="dxa" w:w="2"/>
            <w:tcW w:w="14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0 / 33</w:t>
            </w:r>
          </w:p>
        </w:tc>
        <w:tc>
          <w:tcPr>
            <w:tcW w:type="dxa" w:w="2"/>
            <w:tcW w:w="15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0.0 %</w:t>
            </w:r>
          </w:p>
        </w:tc>
        <w:tc>
          <w:tcPr>
            <w:tcW w:type="dxa" w:w="3"/>
            <w:tcW w:w="18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Zone Rouge</w:t>
            </w:r>
          </w:p>
        </w:tc>
      </w:tr>
      <w:tr>
        <w:tc>
          <w:tcPr>
            <w:tcW w:type="dxa" w:w="4"/>
            <w:tcW w:w="2800" w:type="dxa"/>
            <w:shd w:fill="F9F9F7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Pilier 2 : Processus &amp; Souveraineté Savoir</w:t>
            </w:r>
          </w:p>
        </w:tc>
        <w:tc>
          <w:tcPr>
            <w:tcW w:type="dxa" w:w="2"/>
            <w:tcW w:w="1400" w:type="dxa"/>
            <w:shd w:fill="F9F9F7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12 Clauses</w:t>
            </w:r>
          </w:p>
        </w:tc>
        <w:tc>
          <w:tcPr>
            <w:tcW w:type="dxa" w:w="2"/>
            <w:tcW w:w="1300" w:type="dxa"/>
            <w:shd w:fill="F9F9F7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36 Points</w:t>
            </w:r>
          </w:p>
        </w:tc>
        <w:tc>
          <w:tcPr>
            <w:tcW w:type="dxa" w:w="2"/>
            <w:tcW w:w="1400" w:type="dxa"/>
            <w:shd w:fill="F9F9F7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0 / 36</w:t>
            </w:r>
          </w:p>
        </w:tc>
        <w:tc>
          <w:tcPr>
            <w:tcW w:type="dxa" w:w="2"/>
            <w:tcW w:w="1500" w:type="dxa"/>
            <w:shd w:fill="F9F9F7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0.0 %</w:t>
            </w:r>
          </w:p>
        </w:tc>
        <w:tc>
          <w:tcPr>
            <w:tcW w:type="dxa" w:w="3"/>
            <w:tcW w:w="1800" w:type="dxa"/>
            <w:shd w:fill="F9F9F7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Zone Rouge</w:t>
            </w:r>
          </w:p>
        </w:tc>
      </w:tr>
      <w:tr>
        <w:tc>
          <w:tcPr>
            <w:tcW w:type="dxa" w:w="4"/>
            <w:tcW w:w="28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Pilier 3 : Pilotage Data &amp; Agilité</w:t>
            </w:r>
          </w:p>
        </w:tc>
        <w:tc>
          <w:tcPr>
            <w:tcW w:type="dxa" w:w="2"/>
            <w:tcW w:w="14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6 Clauses</w:t>
            </w:r>
          </w:p>
        </w:tc>
        <w:tc>
          <w:tcPr>
            <w:tcW w:type="dxa" w:w="2"/>
            <w:tcW w:w="13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18 Points</w:t>
            </w:r>
          </w:p>
        </w:tc>
        <w:tc>
          <w:tcPr>
            <w:tcW w:type="dxa" w:w="2"/>
            <w:tcW w:w="14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0 / 18</w:t>
            </w:r>
          </w:p>
        </w:tc>
        <w:tc>
          <w:tcPr>
            <w:tcW w:type="dxa" w:w="2"/>
            <w:tcW w:w="15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0.0 %</w:t>
            </w:r>
          </w:p>
        </w:tc>
        <w:tc>
          <w:tcPr>
            <w:tcW w:type="dxa" w:w="3"/>
            <w:tcW w:w="18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Zone Rouge</w:t>
            </w:r>
          </w:p>
        </w:tc>
      </w:tr>
      <w:tr>
        <w:tc>
          <w:tcPr>
            <w:tcW w:type="dxa" w:w="4"/>
            <w:tcW w:w="2800" w:type="dxa"/>
            <w:shd w:fill="F4F6F4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b/>
                <w:sz w:val="15"/>
              </w:rPr>
              <w:t>SCORE GLOBAL SMQ DELACOUR</w:t>
            </w:r>
          </w:p>
        </w:tc>
        <w:tc>
          <w:tcPr>
            <w:tcW w:type="dxa" w:w="2"/>
            <w:tcW w:w="1400" w:type="dxa"/>
            <w:shd w:fill="F4F6F4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b/>
                <w:sz w:val="15"/>
              </w:rPr>
              <w:t>29 Clauses</w:t>
            </w:r>
          </w:p>
        </w:tc>
        <w:tc>
          <w:tcPr>
            <w:tcW w:type="dxa" w:w="2"/>
            <w:tcW w:w="1300" w:type="dxa"/>
            <w:shd w:fill="F4F6F4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b/>
                <w:sz w:val="15"/>
              </w:rPr>
              <w:t>87 Points</w:t>
            </w:r>
          </w:p>
        </w:tc>
        <w:tc>
          <w:tcPr>
            <w:tcW w:type="dxa" w:w="2"/>
            <w:tcW w:w="1400" w:type="dxa"/>
            <w:shd w:fill="F4F6F4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b/>
                <w:sz w:val="15"/>
              </w:rPr>
              <w:t>0 / 87</w:t>
            </w:r>
          </w:p>
        </w:tc>
        <w:tc>
          <w:tcPr>
            <w:tcW w:type="dxa" w:w="2"/>
            <w:tcW w:w="1500" w:type="dxa"/>
            <w:shd w:fill="F4F6F4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b/>
                <w:sz w:val="15"/>
              </w:rPr>
              <w:t>0.0 %</w:t>
            </w:r>
          </w:p>
        </w:tc>
        <w:tc>
          <w:tcPr>
            <w:tcW w:type="dxa" w:w="3"/>
            <w:tcW w:w="1800" w:type="dxa"/>
            <w:shd w:fill="F4F6F4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b/>
                <w:sz w:val="15"/>
              </w:rPr>
              <w:t>🔴 Zone Rouge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Georgia" w:hAnsi="Georgia"/>
          <w:b/>
          <w:color w:val="1B4D3E"/>
          <w:sz w:val="26"/>
        </w:rPr>
        <w:t>2. DIAGNOSTIC UNIFIÉ ET PLAN D'ACTION SUR-MESURE (29 ITEMS)</w:t>
      </w:r>
    </w:p>
    <w:p>
      <w:pPr>
        <w:spacing w:after="80"/>
      </w:pPr>
      <w:r>
        <w:rPr>
          <w:rFonts w:ascii="Arial" w:hAnsi="Arial"/>
          <w:i/>
          <w:sz w:val="17"/>
        </w:rPr>
        <w:t>Ce tableau détaille le diagnostic des 29 sujets d'organisation. Les intitulés sont traduits en langage métier PME direct pour garantir une compréhension immédiate sans jargon normatif.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"/>
            <w:tcW w:w="1400" w:type="dxa"/>
            <w:shd w:fill="1B4D3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Ref &amp; Intitulé Métier</w:t>
            </w:r>
          </w:p>
        </w:tc>
        <w:tc>
          <w:tcPr>
            <w:tcW w:type="dxa" w:w="4"/>
            <w:tcW w:w="2400" w:type="dxa"/>
            <w:shd w:fill="1B4D3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Constat Factuel (Terrain)</w:t>
            </w:r>
          </w:p>
        </w:tc>
        <w:tc>
          <w:tcPr>
            <w:tcW w:type="dxa" w:w="3"/>
            <w:tcW w:w="1800" w:type="dxa"/>
            <w:shd w:fill="1B4D3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Impact ROI / Risque Identifié</w:t>
            </w:r>
          </w:p>
        </w:tc>
        <w:tc>
          <w:tcPr>
            <w:tcW w:type="dxa" w:w="3"/>
            <w:tcW w:w="1800" w:type="dxa"/>
            <w:shd w:fill="1B4D3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Dispositif Client Existant</w:t>
            </w:r>
          </w:p>
        </w:tc>
        <w:tc>
          <w:tcPr>
            <w:tcW w:type="dxa" w:w="3"/>
            <w:tcW w:w="1800" w:type="dxa"/>
            <w:shd w:fill="1B4D3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Solution Recommandée (Kit Delacour)</w:t>
            </w:r>
          </w:p>
        </w:tc>
        <w:tc>
          <w:tcPr>
            <w:tcW w:type="dxa" w:w="2"/>
            <w:tcW w:w="1000" w:type="dxa"/>
            <w:shd w:fill="1B4D3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Priorité &amp; Horizon</w:t>
            </w:r>
          </w:p>
        </w:tc>
      </w:tr>
      <w:tr>
        <w:tc>
          <w:tcPr>
            <w:tcW w:type="dxa" w:w="16"/>
            <w:gridSpan w:val="6"/>
            <w:tcW w:w="10200" w:type="dxa"/>
            <w:shd w:fill="EBEFEA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C5A065"/>
              <w:left w:val="single" w:sz="4" w:space="0" w:color="D0D7D1"/>
              <w:bottom w:val="single" w:sz="6" w:space="0" w:color="C5A065"/>
              <w:right w:val="single" w:sz="4" w:space="0" w:color="D0D7D1"/>
            </w:tcBorders>
          </w:tcPr>
          <w:p>
            <w:r>
              <w:rPr>
                <w:rFonts w:ascii="Georgia" w:hAnsi="Georgia"/>
                <w:b/>
                <w:color w:val="1B4D3E"/>
                <w:sz w:val="17"/>
              </w:rPr>
              <w:t>SESSION 1 : DIRECTION &amp; PILOTAGE STRATÉGIQUE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1.1</w:t>
              <w:br/>
              <w:t>Analyse Contexte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Absence d'analyse formalisée du marché, du contexte et des risques concurrentiels.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📉 Perte d'opportunités et vulnérabilité face aux évolutions du marché.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Réflexion orale informelle du Dirigeant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Déployer la Matrice SWOT &amp; Enjeux Stratégiques (Outil 01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Haute (15j)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1.2</w:t>
              <w:br/>
              <w:t>Politique Qualité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Absence de Politique Qualité et d'engagement stratégique écrit de la Direction.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⚠️ Flou stratégique et manque de vision partagée par les équipes.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Aucun document écrit ni affiché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Formaliser la Charte d'Engagement Direction (Outil 02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🟠 Moyenne (Mois 2)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1.3</w:t>
              <w:br/>
              <w:t>Objectifs Métiers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Aucun objectif qualité mesurable décliné au niveau des services opérationnels.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Pilotage de l'entreprise au jour le jour sans indicateurs de résultat.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Objectifs oraux non chiffrés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Instaurer la Grille d'Objectifs Qualité SMQ (Outil 03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Haute (15j)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1.4</w:t>
              <w:br/>
              <w:t>Matrice des Risques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Aucune cartographie ni registre formalisé des risques majeurs de la PME.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Vulnérabilité aux urgences opérationnelles, financières et RH.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Gestion réactive des crises au coup par coup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Établir le Registre des Risques &amp; Opportunités (Outil 04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Haute (15j)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1.5</w:t>
              <w:br/>
              <w:t>Bilan Stratégique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Aucune revue de direction annuelle ni bilan formalisé du système d'organisation.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⚠️ Absence d'arbitrage annuel sur les investissements et ressources.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Échanges oraux en fin d'année non consignés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Formaliser la Trame de Revue de Direction (Outil 05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🟢 Consolidation (Mois 4)</w:t>
            </w:r>
          </w:p>
        </w:tc>
      </w:tr>
      <w:tr>
        <w:tc>
          <w:tcPr>
            <w:tcW w:type="dxa" w:w="16"/>
            <w:gridSpan w:val="6"/>
            <w:tcW w:w="10200" w:type="dxa"/>
            <w:shd w:fill="EBEFEA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C5A065"/>
              <w:left w:val="single" w:sz="4" w:space="0" w:color="D0D7D1"/>
              <w:bottom w:val="single" w:sz="6" w:space="0" w:color="C5A065"/>
              <w:right w:val="single" w:sz="4" w:space="0" w:color="D0D7D1"/>
            </w:tcBorders>
          </w:tcPr>
          <w:p>
            <w:r>
              <w:rPr>
                <w:rFonts w:ascii="Georgia" w:hAnsi="Georgia"/>
                <w:b/>
                <w:color w:val="1B4D3E"/>
                <w:sz w:val="17"/>
              </w:rPr>
              <w:t>SESSION 2 : COMMERCIAL, OFFRE &amp; APPROVISIONNEMENTS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2.1</w:t>
              <w:br/>
              <w:t>Écoute Client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Absence de mesure de la satisfaction client et d'écoute structurée.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📉 Risque d'érosion silencieuse du portefeuille client sans alerte.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Retours oraux non archivés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Déployer le Baromètre de Satisfaction Client (Outil 06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🟠 Moyenne (Mois 2)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2.2</w:t>
              <w:br/>
              <w:t>Contrôle des Devis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Devis transmis et signés sans grille de calcul de marge brute obligatoire.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📉 Pertes de marge brute récurrentes estimées à 5% à 15% par dossier.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Grilles Excel individuelles non standardisées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Mettre en place la Grille de Validation des Devis (Outil 08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Haute (15j)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2.3</w:t>
              <w:br/>
              <w:t>Avenants Clients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Modifications de commandes clients gérées à l'oral sans avenant contractuel.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⚠️ Litiges de facturation et prestations complémentaires non facturées.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Emails épars non centralisés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Formaliser la Procédure d'Avenant Commandes (Outil 07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Haute (15j)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2.4</w:t>
              <w:br/>
              <w:t>Sous-Traitance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Aucune grille d'évaluation initiale des sous-traitants et intervenants externes.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Risque de défaillance qualité et retards sur les chantiers clients.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Sélection informelle sur affinité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Instaurer la Grille d'Évaluation Sous-Traitants (Outil 09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Haute (15j)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2.5</w:t>
              <w:br/>
              <w:t>Suivi Fournisseurs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Aucun suivi annuel des performances fournisseurs (délais, tarifs, conformité).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📉 Surcoûts d'approvisionnement et retards d'approvisionnement.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Aucun tableau de suivi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Déployer le Dashboard de Suivi Fournisseurs (Outil 10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🟠 Moyenne (Mois 3)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2.6</w:t>
              <w:br/>
              <w:t>Réception Achats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Aucune vérification formalisée à la réception des marchandises et composants.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⚠️ Intégration de pièces défectueuses en production sans recours.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Contrôle visuel rapide non tracé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Instaurer le Procès-Verbal de Réception Achats (Outil 11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Haute (15j)</w:t>
            </w:r>
          </w:p>
        </w:tc>
      </w:tr>
      <w:tr>
        <w:tc>
          <w:tcPr>
            <w:tcW w:type="dxa" w:w="16"/>
            <w:gridSpan w:val="6"/>
            <w:tcW w:w="10200" w:type="dxa"/>
            <w:shd w:fill="EBEFEA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C5A065"/>
              <w:left w:val="single" w:sz="4" w:space="0" w:color="D0D7D1"/>
              <w:bottom w:val="single" w:sz="6" w:space="0" w:color="C5A065"/>
              <w:right w:val="single" w:sz="4" w:space="0" w:color="D0D7D1"/>
            </w:tcBorders>
          </w:tcPr>
          <w:p>
            <w:r>
              <w:rPr>
                <w:rFonts w:ascii="Georgia" w:hAnsi="Georgia"/>
                <w:b/>
                <w:color w:val="1B4D3E"/>
                <w:sz w:val="17"/>
              </w:rPr>
              <w:t>SESSION 3 : OPÉRATIONS, PRODUCTION &amp; QUALITÉ TERRAIN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3.1</w:t>
              <w:br/>
              <w:t>Gammes Visuelles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Opérations exécutées selon les habitudes sans gamme opératoire visuelle.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⚠️ Variabilité forte de la qualité et défauts récurrents d'assemblage.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Transmission orale du savoir-faire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Formaliser les Gammes Opératoires Visuelles (Outil 14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Haute (15j)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3.2</w:t>
              <w:br/>
              <w:t>Traçabilité Lots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Perte de traçabilité des lots et des matières en cours de fabrication.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Incapacité à isoler un lot défectueux en cas de réclamation client.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Marquage manuel partiel non archivé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Déployer la Fiche de Suivi et Traçabilité Lot (Outil 12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Haute (15j)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3.3</w:t>
              <w:br/>
              <w:t>Biens Confies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Aucun registre des équipements et matériel confiés par les clients.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⚠️ Risque de détérioration ou perte de biens clients.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Prise en charge informelle sans inventaire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Instaurer le Registre de Préservation Biens Client (Outil 13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🟠 Moyenne (Mois 3)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3.4</w:t>
              <w:br/>
              <w:t>Stockage Stocks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Conditions de stockage non sécurisées et risque d'endommagement.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📉 Pertes financières directes par casse et dégradation du stock.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Stockage en vrac non identifié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Mettre en place le Guide de Stockage &amp; Manutention (Outil 15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🟠 Moyenne (Mois 3)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3.5</w:t>
              <w:br/>
              <w:t>Suivi SAV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Aucun suivi structuré des interventions sous garantie et demandes SAV.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📉 Non-facturation des prestations hors garantie et insatisfaction client.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Carnet de notes individuel non partagé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Déployer la Fiche de Suivi SAV &amp; Interventions (Outil 16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🟠 Moyenne (Mois 3)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3.6</w:t>
              <w:br/>
              <w:t>Libération Produit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Produits et chantiers livrés sans fiche de contrôle final validée.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Risque majeur de livraison de travaux non conformes chez le client.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Autocontrôle oral non consigné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Formaliser l'Attestation de Libération Produit (Outil 17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Haute (15j)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3.7</w:t>
              <w:br/>
              <w:t>Zone Rebuts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Éléments non conformes non isolés physiquement ni étiquetés.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⚠️ Mélange accidentel de pièces défectueuses avec les bonnes pièces.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Zone de rebuts non délimitée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Délimiter la Zone Rebuts &amp; Fiche Identité NC (Outil 18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Haute (15j)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3.8</w:t>
              <w:br/>
              <w:t>Analyse Problèmes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Non-conformités traitées en surface sans recherche des causes racines.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📉 Répétition chronique des mêmes erreurs et coûts cachés récurrents.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Correction immédiate sans analyse 5P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Imposer la Méthode 5 Pourquoi &amp; Plan Action (Outil 19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Haute (15j)</w:t>
            </w:r>
          </w:p>
        </w:tc>
      </w:tr>
      <w:tr>
        <w:tc>
          <w:tcPr>
            <w:tcW w:type="dxa" w:w="16"/>
            <w:gridSpan w:val="6"/>
            <w:tcW w:w="10200" w:type="dxa"/>
            <w:shd w:fill="EBEFEA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C5A065"/>
              <w:left w:val="single" w:sz="4" w:space="0" w:color="D0D7D1"/>
              <w:bottom w:val="single" w:sz="6" w:space="0" w:color="C5A065"/>
              <w:right w:val="single" w:sz="4" w:space="0" w:color="D0D7D1"/>
            </w:tcBorders>
          </w:tcPr>
          <w:p>
            <w:r>
              <w:rPr>
                <w:rFonts w:ascii="Georgia" w:hAnsi="Georgia"/>
                <w:b/>
                <w:color w:val="1B4D3E"/>
                <w:sz w:val="17"/>
              </w:rPr>
              <w:t>SESSION 4 : RH, COMPÉTENCES &amp; SOUVERAINETÉ DU SAVOIR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4.1</w:t>
              <w:br/>
              <w:t>Rôles RACI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Absence de fiches de poste et de matrice de responsabilités RACI.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⚠️ Flou organisationnel, doublons et rejet de responsabilité.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Descriptifs de poste obsolètes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Déployer la Matrice RACI &amp; Fiches de Poste (Outil 20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Haute (15j)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4.2</w:t>
              <w:br/>
              <w:t>Hommes-Clés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Dépendance exclusive envers 3 hommes-clés sans suppléance définie.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Risque d'arrêt complet d'un pôle en cas d'absence d'un expert.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Souveraineté du savoir uniquement orale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Établir le Plan de Polyvalence &amp; Suppléance (Outil 21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Haute (15j)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4.3</w:t>
              <w:br/>
              <w:t>Habilitations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Aucun plan de formation ni suivi des habilitations réglementaires.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⚠️ Risque juridique majeur et stagnation des compétences.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Formations décidées sans suivi formel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Instaurer la Matrice Compétences &amp; Habilitations (Outil 22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🟠 Moyenne (Mois 2)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4.4</w:t>
              <w:br/>
              <w:t>Sensibilisation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Personnel non sensibilisé à l'impact de son travail sur la qualité et le ROI.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📉 Désengagement des opérateurs et variabilité du soin apporté.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Aucune communication qualité dédiée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Déployer le Support de Sensibilisation Qualité (Outil 23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🟠 Moyenne (Mois 3)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4.5</w:t>
              <w:br/>
              <w:t>Mémoire Entreprise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Perte d'historique et de savoir-faire lors du départ des collaborateurs.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Fuite irrémédiable du capital intellectuel de la PME.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Aucun guide ni transmission écrite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Implémenter le Guide de Capitalisation du Savoir (Outil 24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🟢 Consolidation (Mois 5)</w:t>
            </w:r>
          </w:p>
        </w:tc>
      </w:tr>
      <w:tr>
        <w:tc>
          <w:tcPr>
            <w:tcW w:type="dxa" w:w="16"/>
            <w:gridSpan w:val="6"/>
            <w:tcW w:w="10200" w:type="dxa"/>
            <w:shd w:fill="EBEFEA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C5A065"/>
              <w:left w:val="single" w:sz="4" w:space="0" w:color="D0D7D1"/>
              <w:bottom w:val="single" w:sz="6" w:space="0" w:color="C5A065"/>
              <w:right w:val="single" w:sz="4" w:space="0" w:color="D0D7D1"/>
            </w:tcBorders>
          </w:tcPr>
          <w:p>
            <w:r>
              <w:rPr>
                <w:rFonts w:ascii="Georgia" w:hAnsi="Georgia"/>
                <w:b/>
                <w:color w:val="1B4D3E"/>
                <w:sz w:val="17"/>
              </w:rPr>
              <w:t>SESSION 5 : DATA, IT &amp; AGILITÉ DÉCISIONNELLE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5.1</w:t>
              <w:br/>
              <w:t>Sécurité IT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Absence de charte informatique et de sauvegarde automatique sécurisée.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Risque majeur de perte définitive de données ou de cyberattaque.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Sauvegardes manuelles éparses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Formaliser la Charte IT &amp; Plan Sauvegardes (Outil 25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Haute (15j)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5.2</w:t>
              <w:br/>
              <w:t>Étalonnage Appareils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Aucun suivi de l'étalonnage et du réglage des appareils de mesure.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⚠️ Risque de mesures de fabrication erronées et pièces hors cotes.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Instruments non répertoriés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Instaurer le Registre d'Étalonnage Appareils (Outil 26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🟠 Moyenne (Mois 3)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5.3</w:t>
              <w:br/>
              <w:t>Organisation GED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Arborescence serveur désorganisée et perte de temps en recherche document.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📉 Perte de temps estimée à 4h/semaine par collaborateur.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Fichiers stockés localement sur PC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Structurer l'Arborescence GED Standard (Outil 27 Delacour).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Haute (15j)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5.4</w:t>
              <w:br/>
              <w:t>Dashboard KPIs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Aucun tableau de bord KPIs temps réel pour piloter les processus.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Management réactif a posteriori au lieu d'un pilotage proactif.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Extractions Excel mensuelles manuelles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Déployer le Dashboard KPIs Temps Réel (Annexes A1-A5).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🟠 Moyenne (Mois 3)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Réf 5.5</w:t>
              <w:br/>
              <w:t>Audits Internes</w:t>
            </w:r>
          </w:p>
        </w:tc>
        <w:tc>
          <w:tcPr>
            <w:tcW w:type="dxa" w:w="4"/>
            <w:tcW w:w="24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Aucun programme d'audit interne ni auto-évaluation périodique.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⚠️ Impossibilité de détecter les dérives avant l'apparition des crises.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Aucun audit interne réalisé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Instaurer le Planning &amp; Trame d'Audit Interne (Annexes A6-A10).</w:t>
            </w:r>
          </w:p>
        </w:tc>
        <w:tc>
          <w:tcPr>
            <w:tcW w:type="dxa" w:w="2"/>
            <w:tcW w:w="1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🟢 Consolidation (Mois 6)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Georgia" w:hAnsi="Georgia"/>
          <w:b/>
          <w:color w:val="1B4D3E"/>
          <w:sz w:val="26"/>
        </w:rPr>
        <w:t>3. FEUILLE DE ROUTE ET MODALITÉS D'ACCOMPAGNEMENT PME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6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0D7D1"/>
              <w:left w:val="single" w:sz="24" w:space="0" w:color="C5A065"/>
              <w:bottom w:val="single" w:sz="4" w:space="0" w:color="D0D7D1"/>
              <w:right w:val="single" w:sz="4" w:space="0" w:color="D0D7D1"/>
            </w:tcBorders>
          </w:tcPr>
          <w:p>
            <w:pPr>
              <w:spacing w:after="80"/>
            </w:pPr>
            <w:r>
              <w:rPr>
                <w:rFonts w:ascii="Arial" w:hAnsi="Arial"/>
                <w:sz w:val="17"/>
              </w:rPr>
              <w:t>MODALITÉS DE MISE EN ŒUVRE DU PLAN D'ACTION :</w:t>
              <w:br/>
              <w:br/>
              <w:t>• OPTION A : DÉPLOIEMENT EN AUTONOMIE PAR LA PME</w:t>
              <w:br/>
              <w:t>La PME cliente reçoit le Rapport d'Audit Complet et le Pack des Outils Qualité Delacour. Les équipes internes assurent l'implémentation et le suivi des actions en toute autonomie.</w:t>
              <w:br/>
              <w:br/>
              <w:t>• OPTION B (RECOMMANDÉE) : PRESTATION D'ACCOMPAGNEMENT À L'EXÉCUTION (CABINET DELACOUR)</w:t>
              <w:br/>
              <w:t>Afin d'éviter que le plan d'action ne soit freiné par la charge de travail quotidienne de vos équipes, le Cabinet Delacour propose une formule d'accompagnement opérationnel sur 3 à 6 mois comprenant :</w:t>
              <w:br/>
              <w:t xml:space="preserve">  - 1 Comité de Pilotage bimensuel (COPIL 1h) pour suivre l'avancement et lever les verrous.</w:t>
              <w:br/>
              <w:t xml:space="preserve">  - Ateliers de travail terrain (2 demi-journées / mois) pour déployer et formaliser les outils directement avec les managers.</w:t>
              <w:br/>
              <w:t xml:space="preserve">  - Hotline &amp; Support direct pour vos équipes afin de garantir un ancrage fluide et 'zéro bureaucratie'.</w:t>
              <w:br/>
              <w:br/>
              <w:t>💡 MINI-GUIDE CONDUITE DU CHANGEMENT POUR VOS ÉQUIPES :</w:t>
              <w:br/>
              <w:t>1. Présenter la démarche non comme un contrôle, mais comme un moyen de leur simplifier le travail quotidien.</w:t>
              <w:br/>
              <w:t>2. Valoriser les pratiques et outils déjà existants pour éviter tout sentiment de rejet.</w:t>
              <w:br/>
              <w:t>3. Les impliquer directement dans la rédaction des gammes opératoires pour qu'ils soient acteurs du changement.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3"/>
            <w:tcW w:w="1600" w:type="dxa"/>
            <w:shd w:fill="1B4D3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Jalon Temporel</w:t>
            </w:r>
          </w:p>
        </w:tc>
        <w:tc>
          <w:tcPr>
            <w:tcW w:type="dxa" w:w="5"/>
            <w:tcW w:w="3000" w:type="dxa"/>
            <w:shd w:fill="1B4D3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Objectifs d'Exécution Adaptés</w:t>
            </w:r>
          </w:p>
        </w:tc>
        <w:tc>
          <w:tcPr>
            <w:tcW w:type="dxa" w:w="5"/>
            <w:tcW w:w="3000" w:type="dxa"/>
            <w:shd w:fill="1B4D3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Livrables / Actions Retenues</w:t>
            </w:r>
          </w:p>
        </w:tc>
        <w:tc>
          <w:tcPr>
            <w:tcW w:type="dxa" w:w="2"/>
            <w:tcW w:w="1300" w:type="dxa"/>
            <w:shd w:fill="1B4D3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Option A (Autonomie)</w:t>
            </w:r>
          </w:p>
        </w:tc>
        <w:tc>
          <w:tcPr>
            <w:tcW w:type="dxa" w:w="2"/>
            <w:tcW w:w="1300" w:type="dxa"/>
            <w:shd w:fill="1B4D3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Option B (Accompagné)</w:t>
            </w:r>
          </w:p>
        </w:tc>
      </w:tr>
      <w:tr>
        <w:tc>
          <w:tcPr>
            <w:tcW w:type="dxa" w:w="3"/>
            <w:tcW w:w="16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Phase 1</w:t>
              <w:br/>
              <w:t>(Mois 1)</w:t>
            </w:r>
          </w:p>
        </w:tc>
        <w:tc>
          <w:tcPr>
            <w:tcW w:type="dxa" w:w="5"/>
            <w:tcW w:w="3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Traiter les urgences critiques et sécuriser les marges (Quick Wins 15j).</w:t>
            </w:r>
          </w:p>
        </w:tc>
        <w:tc>
          <w:tcPr>
            <w:tcW w:type="dxa" w:w="5"/>
            <w:tcW w:w="3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Revue des devis (Outil 08), Matrice RACI (Outil 20), Gammes visuelles (Outil 14) &amp; Sauvegardes IT (Outil 25).</w:t>
            </w:r>
          </w:p>
        </w:tc>
        <w:tc>
          <w:tcPr>
            <w:tcW w:type="dxa" w:w="2"/>
            <w:tcW w:w="13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Interne Client</w:t>
            </w:r>
          </w:p>
        </w:tc>
        <w:tc>
          <w:tcPr>
            <w:tcW w:type="dxa" w:w="2"/>
            <w:tcW w:w="13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Binôme Delacour</w:t>
            </w:r>
          </w:p>
        </w:tc>
      </w:tr>
      <w:tr>
        <w:tc>
          <w:tcPr>
            <w:tcW w:type="dxa" w:w="3"/>
            <w:tcW w:w="1600" w:type="dxa"/>
            <w:shd w:fill="F9F9F7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Phase 2</w:t>
              <w:br/>
              <w:t>(Mois 2-3)</w:t>
            </w:r>
          </w:p>
        </w:tc>
        <w:tc>
          <w:tcPr>
            <w:tcW w:type="dxa" w:w="5"/>
            <w:tcW w:w="3000" w:type="dxa"/>
            <w:shd w:fill="F9F9F7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Standardiser l'exécution, piloter les sous-traitants et former les équipes.</w:t>
            </w:r>
          </w:p>
        </w:tc>
        <w:tc>
          <w:tcPr>
            <w:tcW w:type="dxa" w:w="5"/>
            <w:tcW w:w="3000" w:type="dxa"/>
            <w:shd w:fill="F9F9F7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Évaluation sous-traitants (Outil 09), 5 Pourquoi (Outil 19), Matrice compétences (Outil 22).</w:t>
            </w:r>
          </w:p>
        </w:tc>
        <w:tc>
          <w:tcPr>
            <w:tcW w:type="dxa" w:w="2"/>
            <w:tcW w:w="1300" w:type="dxa"/>
            <w:shd w:fill="F9F9F7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Interne Client</w:t>
            </w:r>
          </w:p>
        </w:tc>
        <w:tc>
          <w:tcPr>
            <w:tcW w:type="dxa" w:w="2"/>
            <w:tcW w:w="1300" w:type="dxa"/>
            <w:shd w:fill="F9F9F7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Ateliers Delacour</w:t>
            </w:r>
          </w:p>
        </w:tc>
      </w:tr>
      <w:tr>
        <w:tc>
          <w:tcPr>
            <w:tcW w:type="dxa" w:w="3"/>
            <w:tcW w:w="16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Phase 3</w:t>
              <w:br/>
              <w:t>(Mois 4-6)</w:t>
            </w:r>
          </w:p>
        </w:tc>
        <w:tc>
          <w:tcPr>
            <w:tcW w:type="dxa" w:w="5"/>
            <w:tcW w:w="3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Automatiser le pilotage Data, la capitalisation du savoir et préparer la certification.</w:t>
            </w:r>
          </w:p>
        </w:tc>
        <w:tc>
          <w:tcPr>
            <w:tcW w:type="dxa" w:w="5"/>
            <w:tcW w:w="30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Dashboard KPIs temps réel (A1-A5), Revue de Direction (Outil 05) &amp; Audit Blanc (A6-A10).</w:t>
            </w:r>
          </w:p>
        </w:tc>
        <w:tc>
          <w:tcPr>
            <w:tcW w:type="dxa" w:w="2"/>
            <w:tcW w:w="13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Interne Client</w:t>
            </w:r>
          </w:p>
        </w:tc>
        <w:tc>
          <w:tcPr>
            <w:tcW w:type="dxa" w:w="2"/>
            <w:tcW w:w="1300" w:type="dxa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Co-Pilotage Delacour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Georgia" w:hAnsi="Georgia"/>
          <w:b/>
          <w:color w:val="1B4D3E"/>
          <w:sz w:val="26"/>
        </w:rPr>
        <w:t>4. PROCÈS-VERBAL DE CLÔTURE ET 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8"/>
            <w:tcW w:w="5100" w:type="dxa"/>
            <w:shd w:fill="F9F9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POUR L'ENTREPRISE CLIENTE :</w:t>
              <w:br/>
              <w:t>Fait à : Paris Le : 25/08/2026</w:t>
              <w:br/>
              <w:br/>
              <w:t>Choix retenu : [  ] Option A (Autonomie)   [ X ] Option B (Accompagné)</w:t>
              <w:br/>
              <w:br/>
              <w:t>Signature &amp; Cachet du Dirigeant :</w:t>
            </w:r>
          </w:p>
        </w:tc>
        <w:tc>
          <w:tcPr>
            <w:tcW w:type="dxa" w:w="8"/>
            <w:tcW w:w="5100" w:type="dxa"/>
            <w:shd w:fill="F9F9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POUR LE CABINET DELACOUR :</w:t>
              <w:br/>
              <w:t>Fait à : Paris Le : 25/08/2026</w:t>
              <w:br/>
              <w:br/>
              <w:t>Melchior Delacour (Auditeur référent) 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right" w:pos="10512"/>
      </w:tabs>
    </w:pPr>
    <w:r>
      <w:rPr>
        <w:rFonts w:ascii="Arial" w:hAnsi="Arial"/>
        <w:color w:val="555555"/>
        <w:sz w:val="17"/>
      </w:rPr>
      <w:t>Cabinet Delacour • Rapport d'Audit SMQ &amp; Feuille de Route Stratégique PME</w:t>
      <w:tab/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Arial" w:hAnsi="Arial"/>
        <w:color w:val="555555"/>
        <w:sz w:val="17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6492240" cy="47431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2240" cy="47431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