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OUTILS ANNEXES TRANSVERSAUX Ã¢ÂÂ¢ OUTIL A1 Ã¢ÂÂ MÃÂ©thode Transversale Ã¢ÂÂ¢ Management &amp; Performance SimplifiÃÂ©e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Guide d'Application &amp; Grille de Formulation des Objectifs SMART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PRINCIPES DE FORMULATION MÃÂTHODOLOGIQUE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Ne validez plus aucun objectif flou ! Une ambition vague comme 'AmÃÂ©liorer la qualitÃÂ©' ou 'Augmenter la satisfaction' n'aide personne sur le terrain. Cette grille vous guide pas ÃÂ  pas pour transformer chaque idÃÂ©e en un engagement clair : ChiffrÃÂ©, Atteignable, AttribuÃÂ© ÃÂ  quelqu'un et DatÃÂ©.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S = SpÃÂ©cifique (Action claire)</w:t>
              <w:br/>
            </w:r>
            <w:r>
              <w:rPr>
                <w:rFonts w:ascii="Arial" w:hAnsi="Arial"/>
                <w:color w:val="1B4D3E"/>
                <w:sz w:val="15"/>
              </w:rPr>
              <w:t>DÃÂ©finir prÃÂ©cisÃÂ©ment ce qu'on va faire, sans phrase floue ni ambiguÃÂ¯tÃÂ©.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M = Mesurable (D'oÃÂ¹ on part -&gt; OÃÂ¹ on va)</w:t>
              <w:br/>
            </w:r>
            <w:r>
              <w:rPr>
                <w:rFonts w:ascii="Arial" w:hAnsi="Arial"/>
                <w:color w:val="1B4D3E"/>
                <w:sz w:val="15"/>
              </w:rPr>
              <w:t>Chiffrer le point de dÃÂ©part (Situation actuelle) et le rÃÂ©sultat voulu (Cible).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A = Atteignable (Responsable &amp; Moyens)</w:t>
              <w:br/>
            </w:r>
            <w:r>
              <w:rPr>
                <w:rFonts w:ascii="Arial" w:hAnsi="Arial"/>
                <w:color w:val="1B4D3E"/>
                <w:sz w:val="15"/>
              </w:rPr>
              <w:t>DÃÂ©signer une seule personne responsable et lui donner le temps/budget nÃÂ©cessaire.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R = RÃÂ©aliste (Niveau d'urgence)</w:t>
              <w:br/>
            </w:r>
            <w:r>
              <w:rPr>
                <w:rFonts w:ascii="Arial" w:hAnsi="Arial"/>
                <w:color w:val="1B4D3E"/>
                <w:sz w:val="15"/>
              </w:rPr>
              <w:t>S'assurer que l'objectif est utile pour l'entreprise et ÃÂ©valuer son urgence (1 ÃÂ  5).</w:t>
            </w:r>
          </w:p>
        </w:tc>
      </w:tr>
      <w:tr>
        <w:tc>
          <w:tcPr>
            <w:tcW w:type="dxa" w:w="10512"/>
            <w:gridSpan w:val="2"/>
            <w:tcW w:w="102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T = Temporel (Date &amp; Suivi)</w:t>
              <w:br/>
            </w:r>
            <w:r>
              <w:rPr>
                <w:rFonts w:ascii="Arial" w:hAnsi="Arial"/>
                <w:color w:val="1B4D3E"/>
                <w:sz w:val="15"/>
              </w:rPr>
              <w:t>Fixer une date limite ferme et dÃÂ©cider quand on fait le point (ex: toutes les semaines).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D'INTERCONNEXIONS &amp; FLUX DE DONNÃÂES ENTRANTES / SORTANTES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Ã°ÂÂÂ¥ DONNÃÂES ENTRANTES (D'oÃÂ¹ viennent les informations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Ã¢ÂÂ¢ Politique QualitÃÂ© &amp; Axes StratÃÂ©giques (Outil 04)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Ã¢ÂÂ¢ Analyse SWOT &amp; PESTEL (Outils 01A/01B)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Ã¢ÂÂ¢ SynthÃÂ¨se des rÃÂ©clamations clients &amp; non-conformitÃÂ©s (Outils 10 &amp; 19)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Ã°ÂÂÂ¤ DONNÃÂES SORTANTES (Vers quoi cet outil alimente-t-il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Ã¢ÂÂ¢ Feuille de Route &amp; Plans d'Actions (Outil 06)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Ã¢ÂÂ¢ Tableau de Bord KPI Direction (Outil 03)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Ã¢ÂÂ¢ Revue de Direction &amp; ProcÃÂ¨s-Verbal (Outil 07)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ÃÂ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Ã¢ÂÂ¢ Des objectifs clairs que tout le monde comprend de la mÃÂªme maniÃÂ¨re.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Ã¢ÂÂ¢ Des rÃÂ©unions d'ÃÂ©valuation simples et sans disputes sur les rÃÂ©sultats.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Ã¢ÂÂ¢ La garantie que chaque responsable a les moyens et le temps d'agir.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Ã¢ÂÂ¢ ConformitÃÂ© garantie lors des audits de certification ISO 9001.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Ã¢ÂÂ¢ Des objectifs flous perÃÂ§us comme irrÃÂ©alistes ou injustes par l'ÃÂ©quipe.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Ã¢ÂÂ¢ ImpossibilitÃÂ© de savoir si une action a vraiment fonctionnÃÂ©.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Ã¢ÂÂ¢ Remarques des auditeurs ISO 9001 sur le manque de suivi des objectifs.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PRATIQUE (3 ÃÂTAPES)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ÃÂtape 1 : </w:t>
            </w:r>
            <w:r>
              <w:rPr>
                <w:rFonts w:ascii="Arial" w:hAnsi="Arial"/>
                <w:sz w:val="16"/>
              </w:rPr>
              <w:t>ComplÃÂ©ter le tableau de gauche ÃÂ  droite pour chaque projet ou service de l'entreprise.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ÃÂtape 2 : </w:t>
            </w:r>
            <w:r>
              <w:rPr>
                <w:rFonts w:ascii="Arial" w:hAnsi="Arial"/>
                <w:sz w:val="16"/>
              </w:rPr>
              <w:t>S'inspirer des 4 exemples prÃÂ©-remplis pour structurer prÃÂ©cisÃÂ©ment l'action, les chiffres et les moyens.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ÃÂtape 3 : </w:t>
            </w:r>
            <w:r>
              <w:rPr>
                <w:rFonts w:ascii="Arial" w:hAnsi="Arial"/>
                <w:sz w:val="16"/>
              </w:rPr>
              <w:t>TransfÃÂ©rer les phrases d'objectifs finales validÃÂ©es (derniÃÂ¨re colonne) dans la Feuille de Route de l'entreprise (Outil 06).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1. GRILLE DE FORMULATION DES OBJECTIFS (ORDRE STRICT S-M-A-R-T)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>
        <w:tc>
          <w:tcPr>
            <w:tcW w:type="dxa" w:w="1168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PÃÂRIMÃÂTRE</w:t>
            </w:r>
          </w:p>
        </w:tc>
        <w:tc>
          <w:tcPr>
            <w:tcW w:type="dxa" w:w="1168"/>
            <w:tcW w:w="1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AMBITION</w:t>
            </w:r>
          </w:p>
        </w:tc>
        <w:tc>
          <w:tcPr>
            <w:tcW w:type="dxa" w:w="1168"/>
            <w:tcW w:w="13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</w:t>
            </w:r>
          </w:p>
        </w:tc>
        <w:tc>
          <w:tcPr>
            <w:tcW w:type="dxa" w:w="1168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</w:t>
            </w:r>
          </w:p>
        </w:tc>
        <w:tc>
          <w:tcPr>
            <w:tcW w:type="dxa" w:w="1168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</w:t>
            </w:r>
          </w:p>
        </w:tc>
        <w:tc>
          <w:tcPr>
            <w:tcW w:type="dxa" w:w="1168"/>
            <w:tcW w:w="1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</w:t>
            </w:r>
          </w:p>
        </w:tc>
        <w:tc>
          <w:tcPr>
            <w:tcW w:type="dxa" w:w="1168"/>
            <w:tcW w:w="9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</w:t>
            </w:r>
          </w:p>
        </w:tc>
        <w:tc>
          <w:tcPr>
            <w:tcW w:type="dxa" w:w="1168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</w:t>
            </w:r>
          </w:p>
        </w:tc>
        <w:tc>
          <w:tcPr>
            <w:tcW w:type="dxa" w:w="1168"/>
            <w:tcW w:w="13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SYNTHÃÂSE</w:t>
            </w:r>
          </w:p>
        </w:tc>
      </w:tr>
      <w:tr>
        <w:tc>
          <w:tcPr>
            <w:tcW w:type="dxa" w:w="1168"/>
            <w:tcW w:w="1100" w:type="dxa"/>
            <w:shd w:fill="E8F0E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6" w:space="0" w:color="1B4D3E"/>
              <w:right w:val="single" w:sz="4" w:space="0" w:color="E2DCCC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1B4D3E"/>
                <w:sz w:val="15"/>
              </w:rPr>
              <w:t>Service / ÃÂquipe</w:t>
            </w:r>
          </w:p>
        </w:tc>
        <w:tc>
          <w:tcPr>
            <w:tcW w:type="dxa" w:w="1168"/>
            <w:tcW w:w="1200" w:type="dxa"/>
            <w:shd w:fill="E8F0E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6" w:space="0" w:color="1B4D3E"/>
              <w:right w:val="single" w:sz="4" w:space="0" w:color="E2DCCC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1B4D3E"/>
                <w:sz w:val="15"/>
              </w:rPr>
              <w:t>IdÃÂ©e de dÃÂ©part</w:t>
            </w:r>
          </w:p>
        </w:tc>
        <w:tc>
          <w:tcPr>
            <w:tcW w:type="dxa" w:w="1168"/>
            <w:tcW w:w="1300" w:type="dxa"/>
            <w:shd w:fill="E8F0E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6" w:space="0" w:color="1B4D3E"/>
              <w:right w:val="single" w:sz="4" w:space="0" w:color="E2DCCC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1B4D3E"/>
                <w:sz w:val="15"/>
              </w:rPr>
              <w:t>Action concrÃÂ¨te ÃÂ  faire</w:t>
            </w:r>
          </w:p>
        </w:tc>
        <w:tc>
          <w:tcPr>
            <w:tcW w:type="dxa" w:w="1168"/>
            <w:tcW w:w="1100" w:type="dxa"/>
            <w:shd w:fill="E8F0E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6" w:space="0" w:color="1B4D3E"/>
              <w:right w:val="single" w:sz="4" w:space="0" w:color="E2DCCC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1B4D3E"/>
                <w:sz w:val="15"/>
              </w:rPr>
              <w:t>Situation actuelle (DÃÂ©part)</w:t>
            </w:r>
          </w:p>
        </w:tc>
        <w:tc>
          <w:tcPr>
            <w:tcW w:type="dxa" w:w="1168"/>
            <w:tcW w:w="1100" w:type="dxa"/>
            <w:shd w:fill="E8F0E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6" w:space="0" w:color="1B4D3E"/>
              <w:right w:val="single" w:sz="4" w:space="0" w:color="E2DCCC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1B4D3E"/>
                <w:sz w:val="15"/>
              </w:rPr>
              <w:t>Cible visÃÂ©e (RÃÂ©sultat)</w:t>
            </w:r>
          </w:p>
        </w:tc>
        <w:tc>
          <w:tcPr>
            <w:tcW w:type="dxa" w:w="1168"/>
            <w:tcW w:w="1200" w:type="dxa"/>
            <w:shd w:fill="E8F0E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6" w:space="0" w:color="1B4D3E"/>
              <w:right w:val="single" w:sz="4" w:space="0" w:color="E2DCCC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1B4D3E"/>
                <w:sz w:val="15"/>
              </w:rPr>
              <w:t>Responsable &amp; Moyens</w:t>
            </w:r>
          </w:p>
        </w:tc>
        <w:tc>
          <w:tcPr>
            <w:tcW w:type="dxa" w:w="1168"/>
            <w:tcW w:w="900" w:type="dxa"/>
            <w:shd w:fill="E8F0E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6" w:space="0" w:color="1B4D3E"/>
              <w:right w:val="single" w:sz="4" w:space="0" w:color="E2DCCC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1B4D3E"/>
                <w:sz w:val="15"/>
              </w:rPr>
              <w:t>Niveau d'urgence (1-5)</w:t>
            </w:r>
          </w:p>
        </w:tc>
        <w:tc>
          <w:tcPr>
            <w:tcW w:type="dxa" w:w="1168"/>
            <w:tcW w:w="1000" w:type="dxa"/>
            <w:shd w:fill="E8F0E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6" w:space="0" w:color="1B4D3E"/>
              <w:right w:val="single" w:sz="4" w:space="0" w:color="E2DCCC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1B4D3E"/>
                <w:sz w:val="15"/>
              </w:rPr>
              <w:t>FrÃÂ©quence &amp; ÃÂchÃÂ©ance</w:t>
            </w:r>
          </w:p>
        </w:tc>
        <w:tc>
          <w:tcPr>
            <w:tcW w:type="dxa" w:w="1168"/>
            <w:tcW w:w="1300" w:type="dxa"/>
            <w:shd w:fill="E8F0E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6" w:space="0" w:color="1B4D3E"/>
              <w:right w:val="single" w:sz="4" w:space="0" w:color="E2DCCC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1B4D3E"/>
                <w:sz w:val="15"/>
              </w:rPr>
              <w:t>Phrase d'objectif rÃÂ©digÃÂ©e</w:t>
            </w:r>
          </w:p>
        </w:tc>
      </w:tr>
      <w:tr>
        <w:tc>
          <w:tcPr>
            <w:tcW w:type="dxa" w:w="1168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Ventes &amp; Commercial</w:t>
            </w:r>
          </w:p>
        </w:tc>
        <w:tc>
          <w:tcPr>
            <w:tcW w:type="dxa" w:w="1168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RÃÂ©duire le dÃÂ©lai des devis</w:t>
            </w:r>
          </w:p>
        </w:tc>
        <w:tc>
          <w:tcPr>
            <w:tcW w:type="dxa" w:w="1168"/>
            <w:tcW w:w="1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CrÃÂ©er un modÃÂ¨le de chiffrage rapide</w:t>
            </w:r>
          </w:p>
        </w:tc>
        <w:tc>
          <w:tcPr>
            <w:tcW w:type="dxa" w:w="1168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72 heures en moyenne</w:t>
            </w:r>
          </w:p>
        </w:tc>
        <w:tc>
          <w:tcPr>
            <w:tcW w:type="dxa" w:w="1168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Moins de 24h</w:t>
            </w:r>
          </w:p>
        </w:tc>
        <w:tc>
          <w:tcPr>
            <w:tcW w:type="dxa" w:w="1168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Marc (Com) / 2 000 Ã¢ÂÂ¬ logiciel</w:t>
            </w:r>
          </w:p>
        </w:tc>
        <w:tc>
          <w:tcPr>
            <w:tcW w:type="dxa" w:w="1168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 (TrÃÂ¨s urgent)</w:t>
            </w:r>
          </w:p>
        </w:tc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Point hebdo (Cible : 31/03/2026)</w:t>
            </w:r>
          </w:p>
        </w:tc>
        <w:tc>
          <w:tcPr>
            <w:tcW w:type="dxa" w:w="1168"/>
            <w:tcW w:w="1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Transmettre 95% des devis en moins de 24h d'ici mars 2026.</w:t>
            </w:r>
          </w:p>
        </w:tc>
      </w:tr>
      <w:tr>
        <w:tc>
          <w:tcPr>
            <w:tcW w:type="dxa" w:w="1168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Atelier &amp; Fab</w:t>
            </w:r>
          </w:p>
        </w:tc>
        <w:tc>
          <w:tcPr>
            <w:tcW w:type="dxa" w:w="1168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Diminuer les piÃÂ¨ces ratÃÂ©es</w:t>
            </w:r>
          </w:p>
        </w:tc>
        <w:tc>
          <w:tcPr>
            <w:tcW w:type="dxa" w:w="1168"/>
            <w:tcW w:w="13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Former les rÃÂ©gleurs sur machine CNC</w:t>
            </w:r>
          </w:p>
        </w:tc>
        <w:tc>
          <w:tcPr>
            <w:tcW w:type="dxa" w:w="1168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4,2 % de piÃÂ¨ces jetÃÂ©es</w:t>
            </w:r>
          </w:p>
        </w:tc>
        <w:tc>
          <w:tcPr>
            <w:tcW w:type="dxa" w:w="1168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Moins de 1,5 %</w:t>
            </w:r>
          </w:p>
        </w:tc>
        <w:tc>
          <w:tcPr>
            <w:tcW w:type="dxa" w:w="1168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Chef d'atelier / 15h formation</w:t>
            </w:r>
          </w:p>
        </w:tc>
        <w:tc>
          <w:tcPr>
            <w:tcW w:type="dxa" w:w="1168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 (Urgent)</w:t>
            </w:r>
          </w:p>
        </w:tc>
        <w:tc>
          <w:tcPr>
            <w:tcW w:type="dxa" w:w="1168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Point 1x/mois (Cible : 15/05/2026)</w:t>
            </w:r>
          </w:p>
        </w:tc>
        <w:tc>
          <w:tcPr>
            <w:tcW w:type="dxa" w:w="1168"/>
            <w:tcW w:w="13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RÃÂ©duire les piÃÂ¨ces jetÃÂ©es ÃÂ  moins de 1,5% avant le 15 mai 2026.</w:t>
            </w:r>
          </w:p>
        </w:tc>
      </w:tr>
      <w:tr>
        <w:tc>
          <w:tcPr>
            <w:tcW w:type="dxa" w:w="1168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QualitÃÂ© &amp; Client</w:t>
            </w:r>
          </w:p>
        </w:tc>
        <w:tc>
          <w:tcPr>
            <w:tcW w:type="dxa" w:w="1168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Traiter les rÃÂ©clamations</w:t>
            </w:r>
          </w:p>
        </w:tc>
        <w:tc>
          <w:tcPr>
            <w:tcW w:type="dxa" w:w="1168"/>
            <w:tcW w:w="1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Mettre en place la fiche de suivi des litiges</w:t>
            </w:r>
          </w:p>
        </w:tc>
        <w:tc>
          <w:tcPr>
            <w:tcW w:type="dxa" w:w="1168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RÃÂ©ponse en 5 jours</w:t>
            </w:r>
          </w:p>
        </w:tc>
        <w:tc>
          <w:tcPr>
            <w:tcW w:type="dxa" w:w="1168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RÃÂ©ponse sous 48h</w:t>
            </w:r>
          </w:p>
        </w:tc>
        <w:tc>
          <w:tcPr>
            <w:tcW w:type="dxa" w:w="1168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Responsable QualitÃÂ© / Temps interne</w:t>
            </w:r>
          </w:p>
        </w:tc>
        <w:tc>
          <w:tcPr>
            <w:tcW w:type="dxa" w:w="1168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 (TrÃÂ¨s urgent)</w:t>
            </w:r>
          </w:p>
        </w:tc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Point hebdo (Cible : 31/12/2026)</w:t>
            </w:r>
          </w:p>
        </w:tc>
        <w:tc>
          <w:tcPr>
            <w:tcW w:type="dxa" w:w="1168"/>
            <w:tcW w:w="1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RÃÂ©pondre ÃÂ  100% des rÃÂ©clamations clients sous 48h cette annÃÂ©e.</w:t>
            </w:r>
          </w:p>
        </w:tc>
      </w:tr>
      <w:tr>
        <w:tc>
          <w:tcPr>
            <w:tcW w:type="dxa" w:w="1168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Ressources Humaines</w:t>
            </w:r>
          </w:p>
        </w:tc>
        <w:tc>
          <w:tcPr>
            <w:tcW w:type="dxa" w:w="1168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Former l'ÃÂ©quipe aux postes clÃÂ©s</w:t>
            </w:r>
          </w:p>
        </w:tc>
        <w:tc>
          <w:tcPr>
            <w:tcW w:type="dxa" w:w="1168"/>
            <w:tcW w:w="13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CrÃÂ©er le tableau des compÃÂ©tences de l'ÃÂ©quipe</w:t>
            </w:r>
          </w:p>
        </w:tc>
        <w:tc>
          <w:tcPr>
            <w:tcW w:type="dxa" w:w="1168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30 % de personnes formÃÂ©es</w:t>
            </w:r>
          </w:p>
        </w:tc>
        <w:tc>
          <w:tcPr>
            <w:tcW w:type="dxa" w:w="1168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75 % de personnes formÃÂ©es</w:t>
            </w:r>
          </w:p>
        </w:tc>
        <w:tc>
          <w:tcPr>
            <w:tcW w:type="dxa" w:w="1168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Responsable RH / Budget 5 000 Ã¢ÂÂ¬</w:t>
            </w:r>
          </w:p>
        </w:tc>
        <w:tc>
          <w:tcPr>
            <w:tcW w:type="dxa" w:w="1168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 (Moyen)</w:t>
            </w:r>
          </w:p>
        </w:tc>
        <w:tc>
          <w:tcPr>
            <w:tcW w:type="dxa" w:w="1168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Point trimestriel (Cible : 30/09/2026)</w:t>
            </w:r>
          </w:p>
        </w:tc>
        <w:tc>
          <w:tcPr>
            <w:tcW w:type="dxa" w:w="1168"/>
            <w:tcW w:w="13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Former 75% de l'ÃÂ©quipe aux postes importants avant fin septembre 2026.</w:t>
            </w:r>
          </w:p>
        </w:tc>
      </w:tr>
      <w:tr>
        <w:tc>
          <w:tcPr>
            <w:tcW w:type="dxa" w:w="1168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[Service]</w:t>
            </w:r>
          </w:p>
        </w:tc>
        <w:tc>
          <w:tcPr>
            <w:tcW w:type="dxa" w:w="1168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[IdÃÂ©e de dÃÂ©part]</w:t>
            </w:r>
          </w:p>
        </w:tc>
        <w:tc>
          <w:tcPr>
            <w:tcW w:type="dxa" w:w="1168"/>
            <w:tcW w:w="1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[Action S]</w:t>
            </w:r>
          </w:p>
        </w:tc>
        <w:tc>
          <w:tcPr>
            <w:tcW w:type="dxa" w:w="1168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[D'oÃÂ¹ on part]</w:t>
            </w:r>
          </w:p>
        </w:tc>
        <w:tc>
          <w:tcPr>
            <w:tcW w:type="dxa" w:w="1168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[Chiffre visÃÂ©]</w:t>
            </w:r>
          </w:p>
        </w:tc>
        <w:tc>
          <w:tcPr>
            <w:tcW w:type="dxa" w:w="1168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[Qui &amp; Avec quoi]</w:t>
            </w:r>
          </w:p>
        </w:tc>
        <w:tc>
          <w:tcPr>
            <w:tcW w:type="dxa" w:w="1168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[Urgence 1-5]</w:t>
            </w:r>
          </w:p>
        </w:tc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[Point d'ÃÂ©tape + Date limite]</w:t>
            </w:r>
          </w:p>
        </w:tc>
        <w:tc>
          <w:tcPr>
            <w:tcW w:type="dxa" w:w="1168"/>
            <w:tcW w:w="1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[Phrase finale d'objectif]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COMPLÃÂTÃÂ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Ã¢ÂÂ¢ Inscrire les objectifs validés dans la Feuille de Route de l'entreprise (Outil 06).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Ã¢ÂÂ¢ Ajouter les chiffres cibles dans le Tableau de Bord de la Direction (Outil 03).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Ã¢ÂÂ¢ Partager les objectifs avec les responsables d'équipe lors des réunions mensuelles.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Ã¢ÂÂ¢ Faire le bilan lors de la réunion de bilan annuel avec la Direction (Outil 07).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Ã¢ÂÂ¢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