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traitez pas la géopolitique internationale globale. Rapprochez chaque lettre PESTEL de l'impact direct sur la facture et le carnet de commandes de votre entreprise.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Politique &amp; Économique</w:t>
              <w:br/>
            </w:r>
            <w:r>
              <w:rPr>
                <w:rFonts w:ascii="Arial" w:hAnsi="Arial"/>
                <w:color w:val="1B4D3E"/>
                <w:sz w:val="15"/>
              </w:rPr>
              <w:t>Aides régionales Industrie 4.0, hausse du KWh gaz/élec atelier, inflation aciers/alu, hausse des frais de transport.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Social &amp; Technologique</w:t>
              <w:br/>
            </w:r>
            <w:r>
              <w:rPr>
                <w:rFonts w:ascii="Arial" w:hAnsi="Arial"/>
                <w:color w:val="1B4D3E"/>
                <w:sz w:val="15"/>
              </w:rPr>
              <w:t>Pyramide des âges (départs retraite sous 2 ans), turn-over jeunes, obsolescence ERP, risque cyberattaque ransomware.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Écologique</w:t>
              <w:br/>
            </w:r>
            <w:r>
              <w:rPr>
                <w:rFonts w:ascii="Arial" w:hAnsi="Arial"/>
                <w:color w:val="1B4D3E"/>
                <w:sz w:val="15"/>
              </w:rPr>
              <w:t>Traitement des huiles/effluents, compactage des copeaux, bilan carbone réclamé par les clients grands comptes.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Légal &amp; Réglementaire</w:t>
              <w:br/>
            </w:r>
            <w:r>
              <w:rPr>
                <w:rFonts w:ascii="Arial" w:hAnsi="Arial"/>
                <w:color w:val="1B4D3E"/>
                <w:sz w:val="15"/>
              </w:rPr>
              <w:t>Mise à jour DUERP (Document Unique Sécurité), contrôle CE machines, règles RGPD fichiers clients/fournisseurs.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Anticipation des chocs d'inflation et d'énergie avant perte de marge.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Protection proactive des marges brutes.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Captation de subventions d'aide à l'investissement entreprise.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Marge détruite par des hausses de coûts non répercutées.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Amendes ou arrêts de production pour non-respect des normes.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ISO 9001 (Clause 4.1).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Analyse du marché et contexte économique sectoriel.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Évolutions légales et réglementaires applicables.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05 (AMDEC Risques) : Évaluation des risques externes et réglementaires.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02 (Parties Prenantes) : Prise en compte des exigences réglementaires.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Parcourir les 6 Piliers PESTEL.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2 à 3 facteurs réels par pilier.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Attribuer l'impact (Opportunité / Risque Fort / Risque Moyen / Conforme).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Programmer 1 action par risque majeur dans l'AMDEC (Outil 05).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