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368" w:right="864" w:bottom="936" w:left="864" w:header="720" w:footer="720" w:gutter="0"/>
      <w:cols w:space="720"/>
      <w:docGrid w:linePitch="360"/>
    </w:sectPr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7F9F8"/>
            <w:tcMar>
              <w:top w:w="80" w:type="dxa"/>
              <w:bottom w:w="60" w:type="dxa"/>
              <w:left w:w="120" w:type="dxa"/>
              <w:right w:w="120" w:type="dxa"/>
            </w:tcMar>
            <w:tcBorders>
              <w:top w:val="single" w:sz="4" w:space="0" w:color="4A6C5C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CONSEILS CONSULTANT &amp; EXEMPLES DE THÉMATIQUES À EXPLORER</w:t>
            </w:r>
          </w:p>
        </w:tc>
      </w:tr>
      <w:tr>
        <w:tc>
          <w:tcPr>
            <w:tcW w:type="dxa" w:w="10512"/>
            <w:gridSpan w:val="2"/>
            <w:tcW w:w="10200" w:type="dxa"/>
            <w:shd w:fill="F7F9F8"/>
            <w:tcMar>
              <w:top w:w="40" w:type="dxa"/>
              <w:bottom w:w="60" w:type="dxa"/>
              <w:left w:w="120" w:type="dxa"/>
              <w:right w:w="120" w:type="dxa"/>
            </w:tcMar>
            <w:tcBorders>
              <w:top w:val="none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Posture &amp; Animation : </w:t>
            </w:r>
            <w:r>
              <w:rPr>
                <w:rFonts w:ascii="Arial" w:hAnsi="Arial"/>
                <w:i/>
                <w:sz w:val="16"/>
              </w:rPr>
              <w:t>La Revue de Direction n'est pas une simple réunion d'information : c'est le conseil d'administration opérationnel de la Qualité. Suivez scrupuleusement les 7 points normatifs pour ressortir avec des arbitrages et des budgets votés.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1. Équipements &amp; Outillage</w:t>
              <w:br/>
            </w:r>
            <w:r>
              <w:rPr>
                <w:rFonts w:ascii="Arial" w:hAnsi="Arial"/>
                <w:color w:val="1B4D3E"/>
                <w:sz w:val="15"/>
              </w:rPr>
              <w:t>Arbitrages d'achats de nouvelles machines, outillage de contrôle dimensionnel.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2. Ressources Humaines</w:t>
              <w:br/>
            </w:r>
            <w:r>
              <w:rPr>
                <w:rFonts w:ascii="Arial" w:hAnsi="Arial"/>
                <w:color w:val="1B4D3E"/>
                <w:sz w:val="15"/>
              </w:rPr>
              <w:t>Validation des budgets de formation polyvalence, recrutements de binômes.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4A6C5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3. Audits &amp; GED</w:t>
              <w:br/>
            </w:r>
            <w:r>
              <w:rPr>
                <w:rFonts w:ascii="Arial" w:hAnsi="Arial"/>
                <w:color w:val="1B4D3E"/>
                <w:sz w:val="15"/>
              </w:rPr>
              <w:t>Validation du programme d'audit interne, déploiement de l'arborescence GED Cloud.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4A6C5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DFBF7"/>
            <w:tcMar>
              <w:top w:w="8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POURQUOI CET OUTIL EST-IL ABSOLUMENT CAPITAL POUR VOTRE ENTREPRISE ?</w:t>
            </w:r>
          </w:p>
        </w:tc>
      </w:tr>
      <w:tr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6" w:space="0" w:color="C5A065"/>
              <w:bottom w:val="single" w:sz="6" w:space="0" w:color="C5A065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5E20"/>
                <w:sz w:val="17"/>
              </w:rPr>
              <w:t>Ce que vous gagnez à l'utiliser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Preuve N°1 absolue exigée par l'auditeur ISO 9001.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Arbitrages budgétaires officiels du DG consignés.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Pilotage stratégique annuel consolidé.</w:t>
            </w:r>
          </w:p>
        </w:tc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4" w:space="0" w:color="E2DCCC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B71C1C"/>
                <w:sz w:val="17"/>
              </w:rPr>
              <w:t>Ce que vous risquez sans cet outil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Refus de certification ISO 9001 (Défaut normatif majeur).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Direction déconnectée des réalités et des coûts cachés.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Blocage des investissements matériels et RH.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GUIDE DE REMPLISSAGE PAS À PAS (4 ÉTAPES)</w:t>
              <w:br/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1 : </w:t>
            </w:r>
            <w:r>
              <w:rPr>
                <w:rFonts w:ascii="Arial" w:hAnsi="Arial"/>
                <w:sz w:val="16"/>
              </w:rPr>
              <w:t>Préparer les données en amont (2h) : Dashboard (Outil 03), SWOT, AMDEC, Réclamations.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2 : </w:t>
            </w:r>
            <w:r>
              <w:rPr>
                <w:rFonts w:ascii="Arial" w:hAnsi="Arial"/>
                <w:sz w:val="16"/>
              </w:rPr>
              <w:t>Animer la réunion en 1h chrono en suivant les 7 points normatifs.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3 : </w:t>
            </w:r>
            <w:r>
              <w:rPr>
                <w:rFonts w:ascii="Arial" w:hAnsi="Arial"/>
                <w:sz w:val="16"/>
              </w:rPr>
              <w:t>Consigner les décisions et arbitrages budgétaires.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4 : </w:t>
            </w:r>
            <w:r>
              <w:rPr>
                <w:rFonts w:ascii="Arial" w:hAnsi="Arial"/>
                <w:sz w:val="16"/>
              </w:rPr>
              <w:t>Faire apposer toutes les signatures manuscrites.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