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C5A065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C5A065"/>
                <w:sz w:val="17"/>
              </w:rPr>
              <w:t>SÉQUENCE 1 • OUTIL 06 — Clause ISO 9001:2015 • 6.2 • Question Q6</w:t>
              <w:br/>
            </w:r>
            <w:r>
              <w:rPr>
                <w:rFonts w:ascii="Georgia" w:hAnsi="Georgia"/>
                <w:b/>
                <w:color w:val="1B4D3E"/>
                <w:sz w:val="29"/>
              </w:rPr>
              <w:t>Feuille de Route d'Objectifs SMART par Service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7F9F8"/>
            <w:tcMar>
              <w:top w:w="80" w:type="dxa"/>
              <w:bottom w:w="60" w:type="dxa"/>
              <w:left w:w="120" w:type="dxa"/>
              <w:right w:w="120" w:type="dxa"/>
            </w:tcMar>
            <w:tcBorders>
              <w:top w:val="single" w:sz="4" w:space="0" w:color="4A6C5C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CONSEILS CONSULTANT &amp; EXEMPLES DE THÉMATIQUES À EXPLORER</w:t>
            </w:r>
          </w:p>
        </w:tc>
      </w:tr>
      <w:tr>
        <w:tc>
          <w:tcPr>
            <w:tcW w:type="dxa" w:w="10512"/>
            <w:gridSpan w:val="2"/>
            <w:tcW w:w="10200" w:type="dxa"/>
            <w:shd w:fill="F7F9F8"/>
            <w:tcMar>
              <w:top w:w="40" w:type="dxa"/>
              <w:bottom w:w="60" w:type="dxa"/>
              <w:left w:w="120" w:type="dxa"/>
              <w:right w:w="120" w:type="dxa"/>
            </w:tcMar>
            <w:tcBorders>
              <w:top w:val="none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Posture &amp; Animation : </w:t>
            </w:r>
            <w:r>
              <w:rPr>
                <w:rFonts w:ascii="Arial" w:hAnsi="Arial"/>
                <w:i/>
                <w:sz w:val="16"/>
              </w:rPr>
              <w:t>Exigez une formule mathématique exacte. Si un indicateur ne peut pas être extrait en 2 clics de votre ERP ou d'un fichier Excel, l'objectif sera abandonné en cours d'année.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1. Ventes</w:t>
              <w:br/>
            </w:r>
            <w:r>
              <w:rPr>
                <w:rFonts w:ascii="Arial" w:hAnsi="Arial"/>
                <w:color w:val="1B4D3E"/>
                <w:sz w:val="15"/>
              </w:rPr>
              <w:t>Taux de devis transformés en commandes (%), délai moyen de transmission d'offre commercial (&lt; 48h).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2. Atelier</w:t>
              <w:br/>
            </w:r>
            <w:r>
              <w:rPr>
                <w:rFonts w:ascii="Arial" w:hAnsi="Arial"/>
                <w:color w:val="1B4D3E"/>
                <w:sz w:val="15"/>
              </w:rPr>
              <w:t>Réduction du pourcentage de chutes d'atelier (%), taux de pièces conformes au premier contrôle (%).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4A6C5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3. Achats &amp; QSE</w:t>
              <w:br/>
            </w:r>
            <w:r>
              <w:rPr>
                <w:rFonts w:ascii="Arial" w:hAnsi="Arial"/>
                <w:color w:val="1B4D3E"/>
                <w:sz w:val="15"/>
              </w:rPr>
              <w:t>Taux d'évaluation des fournisseurs clés ≥ 15/20 (%), taux de clôture des FNC sous 15 jours (%).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4A6C5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DFBF7"/>
            <w:tcMar>
              <w:top w:w="8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POURQUOI CET OUTIL EST-IL ABSOLUMENT CAPITAL POUR VOTRE ENTREPRISE ?</w:t>
            </w:r>
          </w:p>
        </w:tc>
      </w:tr>
      <w:tr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5E20"/>
                <w:sz w:val="17"/>
              </w:rPr>
              <w:t>Ce que vous gagnez à l'utiliser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Responsabilisation directe de chaque chef de service sur des chiffres.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Suivi de progrès garanti aux jalons trimestriels M+3 et M+6.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Preuve d'amélioration continue pour l'audit ISO 9001.</w:t>
            </w:r>
          </w:p>
        </w:tc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B71C1C"/>
                <w:sz w:val="17"/>
              </w:rPr>
              <w:t>Ce que vous risquez sans cet outil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Objectifs flous non mesurés se transformant en vœux pieux.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Démotivation des cadres par manque de repères mesurables.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Écart d'audit ISO 9001 (Clause 6.2).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GUIDE DE REMPLISSAGE PAS À PAS (4 ÉTAPES)</w:t>
              <w:br/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1 : </w:t>
            </w:r>
            <w:r>
              <w:rPr>
                <w:rFonts w:ascii="Arial" w:hAnsi="Arial"/>
                <w:sz w:val="16"/>
              </w:rPr>
              <w:t>Appliquer le filtre SMART (Spécifique, Mesurable, Atteignable, Réaliste, Temporel).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2 : </w:t>
            </w:r>
            <w:r>
              <w:rPr>
                <w:rFonts w:ascii="Arial" w:hAnsi="Arial"/>
                <w:sz w:val="16"/>
              </w:rPr>
              <w:t>Renseigner la formule de calcul exacte.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3 : </w:t>
            </w:r>
            <w:r>
              <w:rPr>
                <w:rFonts w:ascii="Arial" w:hAnsi="Arial"/>
                <w:sz w:val="16"/>
              </w:rPr>
              <w:t>Fixer la Valeur Cible et les Jalons d'avancement M+3 et M+6.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4 : </w:t>
            </w:r>
            <w:r>
              <w:rPr>
                <w:rFonts w:ascii="Arial" w:hAnsi="Arial"/>
                <w:sz w:val="16"/>
              </w:rPr>
              <w:t>Faire émarger le responsable de pôle.</w:t>
            </w:r>
          </w:p>
        </w:tc>
      </w:tr>
    </w:tbl>
    <w:p>
      <w:pPr>
        <w:spacing w:after="8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7F9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DCCC"/>
              <w:left w:val="single" w:sz="20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LA FEUILLE DE ROUTE DÉTAILLÉE PRÊT À REMPLIR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68"/>
        <w:gridCol w:w="1168"/>
        <w:gridCol w:w="1168"/>
        <w:gridCol w:w="1168"/>
        <w:gridCol w:w="1168"/>
        <w:gridCol w:w="1168"/>
        <w:gridCol w:w="1168"/>
        <w:gridCol w:w="1168"/>
        <w:gridCol w:w="1168"/>
      </w:tblGrid>
      <w:tr>
        <w:tc>
          <w:tcPr>
            <w:tcW w:type="dxa" w:w="1168"/>
            <w:tcW w:w="12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Service</w:t>
            </w:r>
          </w:p>
        </w:tc>
        <w:tc>
          <w:tcPr>
            <w:tcW w:type="dxa" w:w="1168"/>
            <w:tcW w:w="17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Objectif Amélioration SMART</w:t>
            </w:r>
          </w:p>
        </w:tc>
        <w:tc>
          <w:tcPr>
            <w:tcW w:type="dxa" w:w="1168"/>
            <w:tcW w:w="18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Formule Exacte de Mesure</w:t>
            </w:r>
          </w:p>
        </w:tc>
        <w:tc>
          <w:tcPr>
            <w:tcW w:type="dxa" w:w="1168"/>
            <w:tcW w:w="9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Valeur Cible</w:t>
            </w:r>
          </w:p>
        </w:tc>
        <w:tc>
          <w:tcPr>
            <w:tcW w:type="dxa" w:w="1168"/>
            <w:tcW w:w="8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Jalons M+3</w:t>
            </w:r>
          </w:p>
        </w:tc>
        <w:tc>
          <w:tcPr>
            <w:tcW w:type="dxa" w:w="1168"/>
            <w:tcW w:w="8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Jalons M+6</w:t>
            </w:r>
          </w:p>
        </w:tc>
        <w:tc>
          <w:tcPr>
            <w:tcW w:type="dxa" w:w="1168"/>
            <w:tcW w:w="14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Ressources Allocées</w:t>
            </w:r>
          </w:p>
        </w:tc>
        <w:tc>
          <w:tcPr>
            <w:tcW w:type="dxa" w:w="1168"/>
            <w:tcW w:w="9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1168"/>
            <w:tcW w:w="7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Statut</w:t>
            </w:r>
          </w:p>
        </w:tc>
      </w:tr>
      <w:tr>
        <w:tc>
          <w:tcPr>
            <w:tcW w:type="dxa" w:w="1168"/>
            <w:tcW w:w="1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Commercial</w:t>
            </w:r>
          </w:p>
        </w:tc>
        <w:tc>
          <w:tcPr>
            <w:tcW w:type="dxa" w:w="1168"/>
            <w:tcW w:w="17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Réduire les devis perdus pour délai de chiffrage trop long</w:t>
            </w:r>
          </w:p>
        </w:tc>
        <w:tc>
          <w:tcPr>
            <w:tcW w:type="dxa" w:w="1168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(Devis perdus pour délai / Total devis) x 100</w:t>
            </w:r>
          </w:p>
        </w:tc>
        <w:tc>
          <w:tcPr>
            <w:tcW w:type="dxa" w:w="1168"/>
            <w:tcW w:w="9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≤ 10 %</w:t>
            </w:r>
          </w:p>
        </w:tc>
        <w:tc>
          <w:tcPr>
            <w:tcW w:type="dxa" w:w="1168"/>
            <w:tcW w:w="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15 %</w:t>
            </w:r>
          </w:p>
        </w:tc>
        <w:tc>
          <w:tcPr>
            <w:tcW w:type="dxa" w:w="1168"/>
            <w:tcW w:w="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8 %</w:t>
            </w:r>
          </w:p>
        </w:tc>
        <w:tc>
          <w:tcPr>
            <w:tcW w:type="dxa" w:w="1168"/>
            <w:tcW w:w="1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Logiciel de chiffrage express</w:t>
            </w:r>
          </w:p>
        </w:tc>
        <w:tc>
          <w:tcPr>
            <w:tcW w:type="dxa" w:w="1168"/>
            <w:tcW w:w="9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Dir. Commercial</w:t>
            </w:r>
          </w:p>
        </w:tc>
        <w:tc>
          <w:tcPr>
            <w:tcW w:type="dxa" w:w="1168"/>
            <w:tcW w:w="7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Conforme</w:t>
            </w:r>
          </w:p>
        </w:tc>
      </w:tr>
      <w:tr>
        <w:tc>
          <w:tcPr>
            <w:tcW w:type="dxa" w:w="1168"/>
            <w:tcW w:w="1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Production</w:t>
            </w:r>
          </w:p>
        </w:tc>
        <w:tc>
          <w:tcPr>
            <w:tcW w:type="dxa" w:w="1168"/>
            <w:tcW w:w="17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Diviser par deux le taux de rebuts atelier</w:t>
            </w:r>
          </w:p>
        </w:tc>
        <w:tc>
          <w:tcPr>
            <w:tcW w:type="dxa" w:w="1168"/>
            <w:tcW w:w="1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(Valeur pièces jetées / CA produit) x 100</w:t>
            </w:r>
          </w:p>
        </w:tc>
        <w:tc>
          <w:tcPr>
            <w:tcW w:type="dxa" w:w="1168"/>
            <w:tcW w:w="9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≤ 1.5 %</w:t>
            </w:r>
          </w:p>
        </w:tc>
        <w:tc>
          <w:tcPr>
            <w:tcW w:type="dxa" w:w="1168"/>
            <w:tcW w:w="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2.2 %</w:t>
            </w:r>
          </w:p>
        </w:tc>
        <w:tc>
          <w:tcPr>
            <w:tcW w:type="dxa" w:w="1168"/>
            <w:tcW w:w="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1.3 %</w:t>
            </w:r>
          </w:p>
        </w:tc>
        <w:tc>
          <w:tcPr>
            <w:tcW w:type="dxa" w:w="1168"/>
            <w:tcW w:w="1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Formation réglage + gabarits</w:t>
            </w:r>
          </w:p>
        </w:tc>
        <w:tc>
          <w:tcPr>
            <w:tcW w:type="dxa" w:w="1168"/>
            <w:tcW w:w="9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Chef Prod</w:t>
            </w:r>
          </w:p>
        </w:tc>
        <w:tc>
          <w:tcPr>
            <w:tcW w:type="dxa" w:w="1168"/>
            <w:tcW w:w="7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Conforme</w:t>
            </w:r>
          </w:p>
        </w:tc>
      </w:tr>
      <w:tr>
        <w:tc>
          <w:tcPr>
            <w:tcW w:type="dxa" w:w="1168"/>
            <w:tcW w:w="1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Achats</w:t>
            </w:r>
          </w:p>
        </w:tc>
        <w:tc>
          <w:tcPr>
            <w:tcW w:type="dxa" w:w="1168"/>
            <w:tcW w:w="17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Obtenir 100% de livraisons fournisseurs dans les délais</w:t>
            </w:r>
          </w:p>
        </w:tc>
        <w:tc>
          <w:tcPr>
            <w:tcW w:type="dxa" w:w="1168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(Commandes reçues à date / Total commandes) x 100</w:t>
            </w:r>
          </w:p>
        </w:tc>
        <w:tc>
          <w:tcPr>
            <w:tcW w:type="dxa" w:w="1168"/>
            <w:tcW w:w="9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≥ 98 %</w:t>
            </w:r>
          </w:p>
        </w:tc>
        <w:tc>
          <w:tcPr>
            <w:tcW w:type="dxa" w:w="1168"/>
            <w:tcW w:w="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95 %</w:t>
            </w:r>
          </w:p>
        </w:tc>
        <w:tc>
          <w:tcPr>
            <w:tcW w:type="dxa" w:w="1168"/>
            <w:tcW w:w="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98.5 %</w:t>
            </w:r>
          </w:p>
        </w:tc>
        <w:tc>
          <w:tcPr>
            <w:tcW w:type="dxa" w:w="1168"/>
            <w:tcW w:w="1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Grille d'évaluation (Outil 09)</w:t>
            </w:r>
          </w:p>
        </w:tc>
        <w:tc>
          <w:tcPr>
            <w:tcW w:type="dxa" w:w="1168"/>
            <w:tcW w:w="9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Resp. Achats</w:t>
            </w:r>
          </w:p>
        </w:tc>
        <w:tc>
          <w:tcPr>
            <w:tcW w:type="dxa" w:w="1168"/>
            <w:tcW w:w="7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Conforme</w:t>
            </w:r>
          </w:p>
        </w:tc>
      </w:tr>
      <w:tr>
        <w:tc>
          <w:tcPr>
            <w:tcW w:type="dxa" w:w="1168"/>
            <w:tcW w:w="1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Qualité / QSE</w:t>
            </w:r>
          </w:p>
        </w:tc>
        <w:tc>
          <w:tcPr>
            <w:tcW w:type="dxa" w:w="1168"/>
            <w:tcW w:w="17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Prise en charge des réclamations clients sous 24h</w:t>
            </w:r>
          </w:p>
        </w:tc>
        <w:tc>
          <w:tcPr>
            <w:tcW w:type="dxa" w:w="1168"/>
            <w:tcW w:w="1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(Réclamations traitées &lt; 24h / Total réclamations)</w:t>
            </w:r>
          </w:p>
        </w:tc>
        <w:tc>
          <w:tcPr>
            <w:tcW w:type="dxa" w:w="1168"/>
            <w:tcW w:w="9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100 %</w:t>
            </w:r>
          </w:p>
        </w:tc>
        <w:tc>
          <w:tcPr>
            <w:tcW w:type="dxa" w:w="1168"/>
            <w:tcW w:w="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90 %</w:t>
            </w:r>
          </w:p>
        </w:tc>
        <w:tc>
          <w:tcPr>
            <w:tcW w:type="dxa" w:w="1168"/>
            <w:tcW w:w="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100 %</w:t>
            </w:r>
          </w:p>
        </w:tc>
        <w:tc>
          <w:tcPr>
            <w:tcW w:type="dxa" w:w="1168"/>
            <w:tcW w:w="1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Registre réclamations (Outil 10)</w:t>
            </w:r>
          </w:p>
        </w:tc>
        <w:tc>
          <w:tcPr>
            <w:tcW w:type="dxa" w:w="1168"/>
            <w:tcW w:w="9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Resp. QSE</w:t>
            </w:r>
          </w:p>
        </w:tc>
        <w:tc>
          <w:tcPr>
            <w:tcW w:type="dxa" w:w="1168"/>
            <w:tcW w:w="7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Conforme</w:t>
            </w:r>
          </w:p>
        </w:tc>
      </w:tr>
      <w:tr>
        <w:tc>
          <w:tcPr>
            <w:tcW w:type="dxa" w:w="1168"/>
            <w:tcW w:w="1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RH / Formations</w:t>
            </w:r>
          </w:p>
        </w:tc>
        <w:tc>
          <w:tcPr>
            <w:tcW w:type="dxa" w:w="1168"/>
            <w:tcW w:w="17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Former 100% des nouveaux salariés au Livret Qualité</w:t>
            </w:r>
          </w:p>
        </w:tc>
        <w:tc>
          <w:tcPr>
            <w:tcW w:type="dxa" w:w="1168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(Salariés formés J+7 / Total embauches) x 100</w:t>
            </w:r>
          </w:p>
        </w:tc>
        <w:tc>
          <w:tcPr>
            <w:tcW w:type="dxa" w:w="1168"/>
            <w:tcW w:w="9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100 %</w:t>
            </w:r>
          </w:p>
        </w:tc>
        <w:tc>
          <w:tcPr>
            <w:tcW w:type="dxa" w:w="1168"/>
            <w:tcW w:w="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100 %</w:t>
            </w:r>
          </w:p>
        </w:tc>
        <w:tc>
          <w:tcPr>
            <w:tcW w:type="dxa" w:w="1168"/>
            <w:tcW w:w="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100 %</w:t>
            </w:r>
          </w:p>
        </w:tc>
        <w:tc>
          <w:tcPr>
            <w:tcW w:type="dxa" w:w="1168"/>
            <w:tcW w:w="1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Livret d'accueil (Outil 23)</w:t>
            </w:r>
          </w:p>
        </w:tc>
        <w:tc>
          <w:tcPr>
            <w:tcW w:type="dxa" w:w="1168"/>
            <w:tcW w:w="9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RH</w:t>
            </w:r>
          </w:p>
        </w:tc>
        <w:tc>
          <w:tcPr>
            <w:tcW w:type="dxa" w:w="1168"/>
            <w:tcW w:w="7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Conforme</w:t>
            </w:r>
          </w:p>
        </w:tc>
      </w:tr>
      <w:tr>
        <w:tc>
          <w:tcPr>
            <w:tcW w:type="dxa" w:w="1168"/>
            <w:tcW w:w="1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b/>
                <w:i/>
                <w:color w:val="C5A065"/>
                <w:sz w:val="15"/>
              </w:rPr>
              <w:t>[Votre Service]</w:t>
            </w:r>
          </w:p>
        </w:tc>
        <w:tc>
          <w:tcPr>
            <w:tcW w:type="dxa" w:w="1168"/>
            <w:tcW w:w="17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[Objectif SMART]</w:t>
            </w:r>
          </w:p>
        </w:tc>
        <w:tc>
          <w:tcPr>
            <w:tcW w:type="dxa" w:w="1168"/>
            <w:tcW w:w="1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[Formule mathématique]</w:t>
            </w:r>
          </w:p>
        </w:tc>
        <w:tc>
          <w:tcPr>
            <w:tcW w:type="dxa" w:w="1168"/>
            <w:tcW w:w="9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[Cible]</w:t>
            </w:r>
          </w:p>
        </w:tc>
        <w:tc>
          <w:tcPr>
            <w:tcW w:type="dxa" w:w="1168"/>
            <w:tcW w:w="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[M+3]</w:t>
            </w:r>
          </w:p>
        </w:tc>
        <w:tc>
          <w:tcPr>
            <w:tcW w:type="dxa" w:w="1168"/>
            <w:tcW w:w="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[M+6]</w:t>
            </w:r>
          </w:p>
        </w:tc>
        <w:tc>
          <w:tcPr>
            <w:tcW w:type="dxa" w:w="1168"/>
            <w:tcW w:w="1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[Ressources]</w:t>
            </w:r>
          </w:p>
        </w:tc>
        <w:tc>
          <w:tcPr>
            <w:tcW w:type="dxa" w:w="1168"/>
            <w:tcW w:w="9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[Nom]</w:t>
            </w:r>
          </w:p>
        </w:tc>
        <w:tc>
          <w:tcPr>
            <w:tcW w:type="dxa" w:w="1168"/>
            <w:tcW w:w="7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Conforme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C5A065"/>
              <w:left w:val="single" w:sz="24" w:space="0" w:color="1B4D3E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QUE FAIRE UNE FOIS CET OUTIL COMPLÉTÉ ?</w:t>
              <w:br/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Émargement individuel de chaque pilote de service.</w:t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Intégration au Dashboard mensuel (Outil 03).</w:t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Points d'étape trimestriels aux jalons M+3 et M+6.</w:t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GED : Sauvegarder sous 01_DIRECTION_STRATEGIE/OBJECTIFS_SMART_2026.pdf.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368" w:right="864" w:bottom="936" w:left="86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left"/>
      <w:tabs>
        <w:tab w:val="right" w:pos="10512"/>
      </w:tabs>
    </w:pPr>
    <w:r/>
    <w:r>
      <w:rPr>
        <w:rFonts w:ascii="Arial" w:hAnsi="Arial"/>
        <w:i/>
        <w:color w:val="787878"/>
        <w:sz w:val="15"/>
      </w:rPr>
      <w:t>Cabinet Delacour • delacour.melchior@cabinetdelacour.com</w:t>
    </w:r>
    <w:r>
      <w:tab/>
      <w:tab/>
    </w:r>
    <w:r>
      <w:rPr>
        <w:rFonts w:ascii="Arial" w:hAnsi="Arial"/>
        <w:i/>
        <w:color w:val="787878"/>
        <w:sz w:val="15"/>
      </w:rPr>
      <w:t xml:space="preserve">Page </w:t>
    </w:r>
    <w:fldSimple w:instr="PAGE"/>
    <w:r>
      <w:rPr>
        <w:rFonts w:ascii="Arial" w:hAnsi="Arial"/>
        <w:i/>
        <w:color w:val="787878"/>
        <w:sz w:val="15"/>
      </w:rP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drawing>
        <wp:inline xmlns:a="http://schemas.openxmlformats.org/drawingml/2006/main" xmlns:pic="http://schemas.openxmlformats.org/drawingml/2006/picture">
          <wp:extent cx="6675120" cy="48768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_brand_unified_h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75120" cy="48768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