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Une réclamation client prise en charge et résolue sous 24 heures transforme un client mécontent en ambassadeur fidèle de votre entreprise. Ne masquez pas les litiges : traitez-les avec rigueur !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Prise en Charge sous 24h</w:t>
              <w:br/>
            </w:r>
            <w:r>
              <w:rPr>
                <w:rFonts w:ascii="Arial" w:hAnsi="Arial"/>
                <w:color w:val="1B4D3E"/>
                <w:sz w:val="15"/>
              </w:rPr>
              <w:t>Envoi d'un accusé de réception officiel au client avec désignation du pilote interne du dossier.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Action Immédiate de Secours</w:t>
              <w:br/>
            </w:r>
            <w:r>
              <w:rPr>
                <w:rFonts w:ascii="Arial" w:hAnsi="Arial"/>
                <w:color w:val="1B4D3E"/>
                <w:sz w:val="15"/>
              </w:rPr>
              <w:t>Lancement d'une fabrication ou expédition prioritaire de pièces de remplacement H+24 sans frais.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Analyse Cause Profonde (5 Pourquoi)</w:t>
              <w:br/>
            </w:r>
            <w:r>
              <w:rPr>
                <w:rFonts w:ascii="Arial" w:hAnsi="Arial"/>
                <w:color w:val="1B4D3E"/>
                <w:sz w:val="15"/>
              </w:rPr>
              <w:t>Identification de l'erreur initiale (plan non à jour, mauvais réglage, emballage fragile) via Outil 19.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Enquête NPS (Net Promoter Score)</w:t>
              <w:br/>
            </w:r>
            <w:r>
              <w:rPr>
                <w:rFonts w:ascii="Arial" w:hAnsi="Arial"/>
                <w:color w:val="1B4D3E"/>
                <w:sz w:val="15"/>
              </w:rPr>
              <w:t>Mesure semestrielle du score d'évaluation globale de satisfaction client.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Fidélisation totale et transformation des réclamations en opportunités commercial.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Perception d'un service après-vente réactif et irréprochable.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de mesure de la satisfaction client (ISO 9001 Clause 8.2.1 &amp; 9.1.2).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Perte irrémédiable de clients majeurs au profit de concurrents.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Surcoûts d'avoirs et de réfections non maîtrisés.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 (Clause 8.2.1).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📥 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A2A (RDV Client) : Remontées d'insatisfaction ou d'écarts de livraison.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17 (PV Recette) : Litiges constatés lors des réceptions sur site.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📤 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19 (FNC &amp; 5 Pourquoi) : Traitement de la cause racine du dysfonctionnement.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A6 (Ishikawa 5M) : Analyse des causes si le problème concerne plusieurs services.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03 &amp; 26 (Dashboards KPIs) : Intégration du score NPS et du nombre de réclamations.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Enregistrer toute réclamation client dès sa réception dans le registre.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Transmettre l'accusé de réception formel au client sous 24h max.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Engager l'analyse des causes et l'action corrective avec le responsable du pôle.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Mesurer le score NPS lors des enquêtes semestrielles.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