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Les pertes de temps et les erreurs surviennent quasi-systématiquement au moment du passage de relais entre deux services. Clarifiez la donnée exacte transmise, son format et son délai d'engagement.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Interface Commercial -&gt; BE</w:t>
              <w:br/>
            </w:r>
            <w:r>
              <w:rPr>
                <w:rFonts w:ascii="Arial" w:hAnsi="Arial"/>
                <w:color w:val="1B4D3E"/>
                <w:sz w:val="15"/>
              </w:rPr>
              <w:t>Transmission de la revue de devis signée et du cahier des charges client complet sous 24h.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Interface BE -&gt; Achats &amp; Prod</w:t>
              <w:br/>
            </w:r>
            <w:r>
              <w:rPr>
                <w:rFonts w:ascii="Arial" w:hAnsi="Arial"/>
                <w:color w:val="1B4D3E"/>
                <w:sz w:val="15"/>
              </w:rPr>
              <w:t>Nomination des références composants, diffusion du plan d'usinage Indice A validé.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Interface Achats -&gt; Production</w:t>
              <w:br/>
            </w:r>
            <w:r>
              <w:rPr>
                <w:rFonts w:ascii="Arial" w:hAnsi="Arial"/>
                <w:color w:val="1B4D3E"/>
                <w:sz w:val="15"/>
              </w:rPr>
              <w:t>Confirmation de la date de livraison des matières avec AR fournisseur sous 48h.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Interface Prod -&gt; Qualité/Livraison</w:t>
              <w:br/>
            </w:r>
            <w:r>
              <w:rPr>
                <w:rFonts w:ascii="Arial" w:hAnsi="Arial"/>
                <w:color w:val="1B4D3E"/>
                <w:sz w:val="15"/>
              </w:rPr>
              <w:t>Transmission du dossier de fabrication émargé et des fiches d'autocontrôle final.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Élimination complète des temps morts et des malentendus inter-services.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Responsabilisation mutuelle des responsables de pôles.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Fluidité parfaite de la chaîne de valeur du devis à la livraison.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Lancement en fabrication sur des plans non à jour (Indice obsolète).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Commandes matières oubliées faute de transmission formelle.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sur le fonctionnement des processus.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11 (Cartographie Processus) : Délimitation des 3 familles de processus.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15 (Jalons APQP BE) : Formalisation des engagements d'études BE ➔ Prod.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16 (Traçabilité) : Suivi des données transmises lors des autocontrôles.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Identifier les 4 interfaces critiques de votre chaîne de valeur.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pour chaque interface la donnée exacte transmise, le support et le délai engagé.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Faire valider la fiche par les deux responsables de services concernés.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Revoir l'efficacité lors des réunions de coordination hebdomadaires.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