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24"/>
      </w:tblGrid>
      <w:tr>
        <w:tc>
          <w:tcPr>
            <w:tcW w:type="dxa" w:w="16"/>
            <w:tcW w:w="10200" w:type="dxa"/>
            <w:shd w:fill="1B4D3E"/>
            <w:tcMar>
              <w:top w:w="140" w:type="dxa"/>
              <w:bottom w:w="140" w:type="dxa"/>
              <w:left w:w="160" w:type="dxa"/>
              <w:right w:w="160" w:type="dxa"/>
            </w:tcMar>
            <w:tcBorders>
              <w:top w:val="single" w:sz="12" w:space="0" w:color="C5A065"/>
              <w:left w:val="single" w:sz="4" w:space="0" w:color="C5A065"/>
              <w:bottom w:val="single" w:sz="12" w:space="0" w:color="C5A065"/>
              <w:right w:val="single" w:sz="4" w:space="0" w:color="C5A065"/>
            </w:tcBorders>
          </w:tcPr>
          <w:p>
            <w:pPr>
              <w:spacing w:after="40"/>
            </w:pPr>
            <w:r>
              <w:rPr>
                <w:rFonts w:ascii="Georgia" w:hAnsi="Georgia"/>
                <w:b/>
                <w:color w:val="C5A065"/>
                <w:sz w:val="28"/>
              </w:rPr>
              <w:t>GUIDE MÉTHODOLOGIQUE D'EXPLOITATION PRÉ-AUDIT CONSULTANT</w:t>
              <w:br/>
            </w:r>
            <w:r>
              <w:rPr>
                <w:rFonts w:ascii="Arial" w:hAnsi="Arial"/>
                <w:color w:val="FFFFFF"/>
                <w:sz w:val="19"/>
              </w:rPr>
              <w:t>Protocole d'Analyse Off-Site en 30-45 min &amp; Pré-Remplissage Stratégique de la Grille SMQ</w:t>
            </w:r>
          </w:p>
        </w:tc>
      </w:tr>
    </w:tbl>
    <w:p>
      <w:pPr>
        <w:spacing w:after="120"/>
      </w:pPr>
    </w:p>
    <w:p>
      <w:r>
        <w:rPr>
          <w:rFonts w:ascii="Georgia" w:hAnsi="Georgia"/>
          <w:b/>
          <w:color w:val="1B4D3E"/>
          <w:sz w:val="24"/>
        </w:rPr>
        <w:t>1. OBJECTIFS STRATÉGIQUES DE LA PRÉ-ANALYSE PRÉALABLE</w:t>
      </w:r>
    </w:p>
    <w:p>
      <w:pPr>
        <w:spacing w:after="80"/>
      </w:pPr>
      <w:r>
        <w:rPr>
          <w:rFonts w:ascii="Arial" w:hAnsi="Arial"/>
          <w:sz w:val="18"/>
        </w:rPr>
        <w:t>L'analyse documentaire préalable (off-site) est l'une des clés majeures de la valeur ajoutée du Cabinet Delacour. Elle permet au consultant d'arriver sur le site du client en connaissant déjà les caractéristiques réelles de son organisation, en ayant pré-rempli 30 % à 40 % de la Grille d'Audit SMQ et en ayant pré-identifié les outils du Kit Delacour à recommander.</w:t>
      </w:r>
    </w:p>
    <w:p>
      <w:r>
        <w:rPr>
          <w:rFonts w:ascii="Georgia" w:hAnsi="Georgia"/>
          <w:b/>
          <w:color w:val="1B4D3E"/>
          <w:sz w:val="24"/>
        </w:rPr>
        <w:t>2. MATRICE D'ANALYSE DES 5 DOCUMENTS CLÉS (30 À 45 MIN MAX)</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4"/>
            <w:tcW w:w="2400" w:type="dxa"/>
            <w:shd w:fill="1B4D3E"/>
            <w:tcMar>
              <w:top w:w="60" w:type="dxa"/>
              <w:bottom w:w="60" w:type="dxa"/>
              <w:left w:w="50" w:type="dxa"/>
              <w:right w:w="50" w:type="dxa"/>
            </w:tcMar>
          </w:tcPr>
          <w:p>
            <w:r>
              <w:rPr>
                <w:rFonts w:ascii="Arial" w:hAnsi="Arial"/>
                <w:b/>
                <w:color w:val="FFFFFF"/>
                <w:sz w:val="16"/>
              </w:rPr>
              <w:t>Document Client Reçu</w:t>
            </w:r>
          </w:p>
        </w:tc>
        <w:tc>
          <w:tcPr>
            <w:tcW w:type="dxa" w:w="6"/>
            <w:tcW w:w="3600" w:type="dxa"/>
            <w:shd w:fill="1B4D3E"/>
            <w:tcMar>
              <w:top w:w="60" w:type="dxa"/>
              <w:bottom w:w="60" w:type="dxa"/>
              <w:left w:w="50" w:type="dxa"/>
              <w:right w:w="50" w:type="dxa"/>
            </w:tcMar>
          </w:tcPr>
          <w:p>
            <w:r>
              <w:rPr>
                <w:rFonts w:ascii="Arial" w:hAnsi="Arial"/>
                <w:b/>
                <w:color w:val="FFFFFF"/>
                <w:sz w:val="16"/>
              </w:rPr>
              <w:t>Point de Contrôle &amp; Analyse Flash</w:t>
            </w:r>
          </w:p>
        </w:tc>
        <w:tc>
          <w:tcPr>
            <w:tcW w:type="dxa" w:w="3"/>
            <w:tcW w:w="2000" w:type="dxa"/>
            <w:shd w:fill="1B4D3E"/>
            <w:tcMar>
              <w:top w:w="60" w:type="dxa"/>
              <w:bottom w:w="60" w:type="dxa"/>
              <w:left w:w="50" w:type="dxa"/>
              <w:right w:w="50" w:type="dxa"/>
            </w:tcMar>
          </w:tcPr>
          <w:p>
            <w:r>
              <w:rPr>
                <w:rFonts w:ascii="Arial" w:hAnsi="Arial"/>
                <w:b/>
                <w:color w:val="FFFFFF"/>
                <w:sz w:val="16"/>
              </w:rPr>
              <w:t>Clause ISO 9001 Impactée</w:t>
            </w:r>
          </w:p>
        </w:tc>
        <w:tc>
          <w:tcPr>
            <w:tcW w:type="dxa" w:w="3"/>
            <w:tcW w:w="2200" w:type="dxa"/>
            <w:shd w:fill="1B4D3E"/>
            <w:tcMar>
              <w:top w:w="60" w:type="dxa"/>
              <w:bottom w:w="60" w:type="dxa"/>
              <w:left w:w="50" w:type="dxa"/>
              <w:right w:w="50" w:type="dxa"/>
            </w:tcMar>
          </w:tcPr>
          <w:p>
            <w:r>
              <w:rPr>
                <w:rFonts w:ascii="Arial" w:hAnsi="Arial"/>
                <w:b/>
                <w:color w:val="FFFFFF"/>
                <w:sz w:val="16"/>
              </w:rPr>
              <w:t>Outil Delacour Pré-Sélectionné</w:t>
            </w:r>
          </w:p>
        </w:tc>
      </w:tr>
      <w:tr>
        <w:tc>
          <w:tcPr>
            <w:tcW w:type="dxa" w:w="4"/>
            <w:tcW w:w="24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1. Organigramme / Effectifs</w:t>
            </w:r>
          </w:p>
        </w:tc>
        <w:tc>
          <w:tcPr>
            <w:tcW w:type="dxa" w:w="6"/>
            <w:tcW w:w="36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Recherche des hommes-clés, doublons ou vides d'organisation. Vérification de la formalisation des fonctions.</w:t>
            </w:r>
          </w:p>
        </w:tc>
        <w:tc>
          <w:tcPr>
            <w:tcW w:type="dxa" w:w="3"/>
            <w:tcW w:w="20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Clause 5.3</w:t>
              <w:br/>
              <w:t>(Rôles &amp; Responsabilités)</w:t>
            </w:r>
          </w:p>
        </w:tc>
        <w:tc>
          <w:tcPr>
            <w:tcW w:type="dxa" w:w="3"/>
            <w:tcW w:w="22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Outil 20</w:t>
              <w:br/>
              <w:t>(RACI &amp; Organigramme)</w:t>
            </w:r>
          </w:p>
        </w:tc>
      </w:tr>
      <w:tr>
        <w:tc>
          <w:tcPr>
            <w:tcW w:type="dxa" w:w="4"/>
            <w:tcW w:w="24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2. Devis + Commande Client</w:t>
            </w:r>
          </w:p>
        </w:tc>
        <w:tc>
          <w:tcPr>
            <w:tcW w:type="dxa" w:w="6"/>
            <w:tcW w:w="36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Vérification de la présence d'une grille de calcul de marge brute et du tampon de validation avant signature.</w:t>
            </w:r>
          </w:p>
        </w:tc>
        <w:tc>
          <w:tcPr>
            <w:tcW w:type="dxa" w:w="3"/>
            <w:tcW w:w="20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Clause 8.2</w:t>
              <w:br/>
              <w:t>(Exigences Produits/Services)</w:t>
            </w:r>
          </w:p>
        </w:tc>
        <w:tc>
          <w:tcPr>
            <w:tcW w:type="dxa" w:w="3"/>
            <w:tcW w:w="22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Outil 08</w:t>
              <w:br/>
              <w:t>(Revue Devis &amp; Marges)</w:t>
            </w:r>
          </w:p>
        </w:tc>
      </w:tr>
      <w:tr>
        <w:tc>
          <w:tcPr>
            <w:tcW w:type="dxa" w:w="4"/>
            <w:tcW w:w="24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3. Consigne / Fiche de travail</w:t>
            </w:r>
          </w:p>
        </w:tc>
        <w:tc>
          <w:tcPr>
            <w:tcW w:type="dxa" w:w="6"/>
            <w:tcW w:w="36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Analyse de la clarté et du formalisme des instructions. Vérification du travail 'au feeling' vs formalisé.</w:t>
            </w:r>
          </w:p>
        </w:tc>
        <w:tc>
          <w:tcPr>
            <w:tcW w:type="dxa" w:w="3"/>
            <w:tcW w:w="20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Clause 8.5</w:t>
              <w:br/>
              <w:t>(Maîtrise de la Production)</w:t>
            </w:r>
          </w:p>
        </w:tc>
        <w:tc>
          <w:tcPr>
            <w:tcW w:type="dxa" w:w="3"/>
            <w:tcW w:w="22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Outil 14</w:t>
              <w:br/>
              <w:t>(Gammes Visuelles)</w:t>
            </w:r>
          </w:p>
        </w:tc>
      </w:tr>
      <w:tr>
        <w:tc>
          <w:tcPr>
            <w:tcW w:type="dxa" w:w="4"/>
            <w:tcW w:w="24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4. Liste Fournisseurs</w:t>
            </w:r>
          </w:p>
        </w:tc>
        <w:tc>
          <w:tcPr>
            <w:tcW w:type="dxa" w:w="6"/>
            <w:tcW w:w="36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Vérification de l'existence de critères d'évaluation des sous-traitants et fournisseurs stratégiques.</w:t>
            </w:r>
          </w:p>
        </w:tc>
        <w:tc>
          <w:tcPr>
            <w:tcW w:type="dxa" w:w="3"/>
            <w:tcW w:w="20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Clause 8.4</w:t>
              <w:br/>
              <w:t>(Prestataires Externes)</w:t>
            </w:r>
          </w:p>
        </w:tc>
        <w:tc>
          <w:tcPr>
            <w:tcW w:type="dxa" w:w="3"/>
            <w:tcW w:w="2200" w:type="dxa"/>
            <w:shd w:fill="F9F9F7"/>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Outil 09</w:t>
              <w:br/>
              <w:t>(Évaluation Fournisseurs)</w:t>
            </w:r>
          </w:p>
        </w:tc>
      </w:tr>
      <w:tr>
        <w:tc>
          <w:tcPr>
            <w:tcW w:type="dxa" w:w="4"/>
            <w:tcW w:w="24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5. Suivi Réclamations</w:t>
            </w:r>
          </w:p>
        </w:tc>
        <w:tc>
          <w:tcPr>
            <w:tcW w:type="dxa" w:w="6"/>
            <w:tcW w:w="36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Analyse du suivi des insatisfactions et du traitement des causes racines (Coûts de Non-Qualité).</w:t>
            </w:r>
          </w:p>
        </w:tc>
        <w:tc>
          <w:tcPr>
            <w:tcW w:type="dxa" w:w="3"/>
            <w:tcW w:w="20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Clause 10.2</w:t>
              <w:br/>
              <w:t>(Non-Conformités &amp; Correctifs)</w:t>
            </w:r>
          </w:p>
        </w:tc>
        <w:tc>
          <w:tcPr>
            <w:tcW w:type="dxa" w:w="3"/>
            <w:tcW w:w="2200" w:type="dxa"/>
            <w:shd w:fill="FFFFFF"/>
            <w:tcMar>
              <w:top w:w="50" w:type="dxa"/>
              <w:bottom w:w="50" w:type="dxa"/>
              <w:left w:w="50" w:type="dxa"/>
              <w:right w:w="50" w:type="dxa"/>
            </w:tcMar>
            <w:tcBorders>
              <w:top w:val="single" w:sz="4" w:space="0" w:color="D0D7D1"/>
              <w:left w:val="single" w:sz="4" w:space="0" w:color="D0D7D1"/>
              <w:bottom w:val="single" w:sz="4" w:space="0" w:color="D0D7D1"/>
              <w:right w:val="single" w:sz="4" w:space="0" w:color="D0D7D1"/>
            </w:tcBorders>
          </w:tcPr>
          <w:p>
            <w:r>
              <w:rPr>
                <w:rFonts w:ascii="Arial" w:hAnsi="Arial"/>
                <w:sz w:val="16"/>
              </w:rPr>
              <w:t>Outil 19 (5 Pourquoi) &amp;</w:t>
              <w:br/>
              <w:t>Calculateur CNQ</w:t>
            </w:r>
          </w:p>
        </w:tc>
      </w:tr>
    </w:tbl>
    <w:p>
      <w:pPr>
        <w:spacing w:after="120"/>
      </w:pPr>
    </w:p>
    <w:p>
      <w:r>
        <w:rPr>
          <w:rFonts w:ascii="Georgia" w:hAnsi="Georgia"/>
          <w:b/>
          <w:color w:val="1B4D3E"/>
          <w:sz w:val="24"/>
        </w:rPr>
        <w:t>3. PROTOCOLE DE PRÉPARATOIRE À LA VEILLE DE L'AUDIT (J-1)</w:t>
      </w:r>
    </w:p>
    <w:p>
      <w:pPr>
        <w:spacing w:after="40"/>
      </w:pPr>
      <w:r>
        <w:rPr>
          <w:rFonts w:ascii="Arial" w:hAnsi="Arial"/>
          <w:sz w:val="17"/>
        </w:rPr>
        <w:t>1. Pré-Remplissage de la Grille d'Audit : Saisir les constats factuels découverts dans les documents reçus dans la colonne [ Constats &amp; Preuves ].</w:t>
      </w:r>
    </w:p>
    <w:p>
      <w:pPr>
        <w:spacing w:after="40"/>
      </w:pPr>
      <w:r>
        <w:rPr>
          <w:rFonts w:ascii="Arial" w:hAnsi="Arial"/>
          <w:sz w:val="17"/>
        </w:rPr>
        <w:t>2. Identification des 3 Points Rouges : Déterminer les 2 à 3 faiblesses prioritaires de l'entreprise (ex: devis non sécurisés, retards fournisseurs, consignes orales).</w:t>
      </w:r>
    </w:p>
    <w:p>
      <w:pPr>
        <w:spacing w:after="40"/>
      </w:pPr>
      <w:r>
        <w:rPr>
          <w:rFonts w:ascii="Arial" w:hAnsi="Arial"/>
          <w:sz w:val="17"/>
        </w:rPr>
        <w:t>3. Personnalisation du Diaporama d'Ouverture : Adapter la Slide 02 avec le nom du client et caler le planning des interviews selon l'organigramme reçu.</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10512"/>
      </w:tabs>
    </w:pPr>
    <w:r>
      <w:rPr>
        <w:rFonts w:ascii="Arial" w:hAnsi="Arial"/>
        <w:color w:val="555555"/>
        <w:sz w:val="17"/>
      </w:rPr>
      <w:t>Cabinet Delacour • Guide Méthodologique d'Exploitation Pré-Audit</w:t>
      <w:tab/>
      <w:tab/>
      <w:t xml:space="preserve">Page </w:t>
    </w:r>
    <w:r>
      <w:fldChar w:fldCharType="begin"/>
    </w:r>
    <w:r>
      <w:instrText xml:space="preserve"> PAGE </w:instrText>
    </w:r>
    <w:r>
      <w:fldChar w:fldCharType="separate"/>
    </w:r>
    <w:r>
      <w:fldChar w:fldCharType="end"/>
    </w:r>
    <w:r>
      <w:rPr>
        <w:rFonts w:ascii="Arial" w:hAnsi="Arial"/>
        <w:color w:val="555555"/>
        <w:sz w:val="17"/>
      </w:rPr>
      <w:t xml:space="preserve"> / </w:t>
    </w:r>
    <w:r>
      <w:fldChar w:fldCharType="begin"/>
    </w:r>
    <w:r>
      <w:instrText xml:space="preserve"> NUMPAGES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6492240" cy="474319"/>
          <wp:docPr id="1" name="Picture 1"/>
          <wp:cNvGraphicFramePr>
            <a:graphicFrameLocks noChangeAspect="1"/>
          </wp:cNvGraphicFramePr>
          <a:graphic>
            <a:graphicData uri="http://schemas.openxmlformats.org/drawingml/2006/picture">
              <pic:pic>
                <pic:nvPicPr>
                  <pic:cNvPr id="0" name="header_brand_unified_hd.png"/>
                  <pic:cNvPicPr/>
                </pic:nvPicPr>
                <pic:blipFill>
                  <a:blip r:embed="rId1"/>
                  <a:stretch>
                    <a:fillRect/>
                  </a:stretch>
                </pic:blipFill>
                <pic:spPr>
                  <a:xfrm>
                    <a:off x="0" y="0"/>
                    <a:ext cx="6492240" cy="47431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