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color w:val="C5A065"/>
          <w:sz w:val="18"/>
        </w:rPr>
        <w:t>SLIDE 01</w:t>
      </w:r>
    </w:p>
    <w:p>
      <w:pPr>
        <w:spacing w:after="40"/>
      </w:pPr>
      <w:r>
        <w:rPr>
          <w:rFonts w:ascii="Georgia" w:hAnsi="Georgia"/>
          <w:b/>
          <w:color w:val="1B4D3E"/>
          <w:sz w:val="32"/>
        </w:rPr>
        <w:t>RÉUNION D'OUVERTURE D'AUDIT SMQ &amp; PERFORMANCE</w:t>
      </w:r>
    </w:p>
    <w:p>
      <w:pPr>
        <w:spacing w:after="200"/>
      </w:pPr>
      <w:r>
        <w:rPr>
          <w:rFonts w:ascii="Arial" w:hAnsi="Arial"/>
          <w:i/>
          <w:color w:val="555555"/>
          <w:sz w:val="20"/>
        </w:rPr>
        <w:t>Méthode Cabinet Delacour • Alignement ISO 9001 &amp; Chasse aux Coûts Cachés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23"/>
            <w:tcW w:w="14500" w:type="dxa"/>
            <w:shd w:fill="F9F9F7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0D7D1"/>
              <w:left w:val="single" w:sz="24" w:space="0" w:color="1B4D3E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9"/>
              </w:rPr>
              <w:t>Entreprise cliente : [Nom de votre entreprise]</w:t>
              <w:br/>
            </w:r>
            <w:r>
              <w:rPr>
                <w:rFonts w:ascii="Arial" w:hAnsi="Arial"/>
                <w:sz w:val="19"/>
              </w:rPr>
              <w:t>Date de l'audit : [DD/MM/YYYY]</w:t>
              <w:br/>
            </w:r>
            <w:r>
              <w:rPr>
                <w:rFonts w:ascii="Arial" w:hAnsi="Arial"/>
                <w:sz w:val="19"/>
              </w:rPr>
              <w:t>Horaires : 08h30 - 17h45</w:t>
              <w:br/>
            </w:r>
            <w:r>
              <w:rPr>
                <w:rFonts w:ascii="Arial" w:hAnsi="Arial"/>
                <w:sz w:val="19"/>
              </w:rPr>
              <w:t>Dirigeant / Décideur d'entreprise : [Nom, Prénom &amp; Fonction]</w:t>
              <w:br/>
            </w:r>
            <w:r>
              <w:rPr>
                <w:rFonts w:ascii="Arial" w:hAnsi="Arial"/>
                <w:sz w:val="19"/>
              </w:rPr>
              <w:t>Auditeur référent : Cabinet Delacour (delacour.melchior@cabinetdelacour.com)</w:t>
              <w:br/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Arial" w:hAnsi="Arial"/>
          <w:b/>
          <w:color w:val="C5A065"/>
          <w:sz w:val="18"/>
        </w:rPr>
        <w:t>SLIDE 02</w:t>
      </w:r>
    </w:p>
    <w:p>
      <w:pPr>
        <w:spacing w:after="40"/>
      </w:pPr>
      <w:r>
        <w:rPr>
          <w:rFonts w:ascii="Georgia" w:hAnsi="Georgia"/>
          <w:b/>
          <w:color w:val="1B4D3E"/>
          <w:sz w:val="32"/>
        </w:rPr>
        <w:t>OBJECTIFS &amp; ESPRIT DE LA MISSION D'AUDIT</w:t>
      </w:r>
    </w:p>
    <w:p>
      <w:pPr>
        <w:spacing w:after="200"/>
      </w:pPr>
      <w:r>
        <w:rPr>
          <w:rFonts w:ascii="Arial" w:hAnsi="Arial"/>
          <w:i/>
          <w:color w:val="555555"/>
          <w:sz w:val="20"/>
        </w:rPr>
        <w:t>Allier la conformité ISO 9001 et la rentabilité concrète du terrain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11"/>
            <w:tcW w:w="7100" w:type="dxa"/>
            <w:shd w:fill="F9F9F7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6" w:space="0" w:color="C5A065"/>
              <w:bottom w:val="single" w:sz="6" w:space="0" w:color="C5A065"/>
              <w:right w:val="single" w:sz="6" w:space="0" w:color="C5A065"/>
            </w:tcBorders>
          </w:tcPr>
          <w:p>
            <w:r>
              <w:rPr>
                <w:rFonts w:ascii="Georgia" w:hAnsi="Georgia"/>
                <w:b/>
                <w:color w:val="1B4D3E"/>
                <w:sz w:val="21"/>
              </w:rPr>
              <w:t>Objectif 1 : Conformité Normative</w:t>
              <w:br/>
              <w:br/>
            </w:r>
            <w:r>
              <w:rPr>
                <w:rFonts w:ascii="Arial" w:hAnsi="Arial"/>
                <w:sz w:val="18"/>
              </w:rPr>
              <w:t>• Évaluer la maturité de l'organisation face aux exigences clés d'ISO 9001:2015.</w:t>
              <w:br/>
              <w:t>• Identifier les points forts et sécuriser les processus.</w:t>
              <w:br/>
              <w:t>• Préparer sereinement les étapes de certification.</w:t>
            </w:r>
          </w:p>
        </w:tc>
        <w:tc>
          <w:tcPr>
            <w:tcW w:type="dxa" w:w="11"/>
            <w:tcW w:w="7100" w:type="dxa"/>
            <w:shd w:fill="F9F9F7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6" w:space="0" w:color="C5A065"/>
              <w:bottom w:val="single" w:sz="6" w:space="0" w:color="C5A065"/>
              <w:right w:val="single" w:sz="6" w:space="0" w:color="C5A065"/>
            </w:tcBorders>
          </w:tcPr>
          <w:p>
            <w:r>
              <w:rPr>
                <w:rFonts w:ascii="Georgia" w:hAnsi="Georgia"/>
                <w:b/>
                <w:color w:val="1B4D3E"/>
                <w:sz w:val="21"/>
              </w:rPr>
              <w:t>Objectif 2 : Performance &amp; Valorisation de l'Existant</w:t>
              <w:br/>
              <w:br/>
            </w:r>
            <w:r>
              <w:rPr>
                <w:rFonts w:ascii="Arial" w:hAnsi="Arial"/>
                <w:sz w:val="18"/>
              </w:rPr>
              <w:t>• S'appuyer sur vos outils et procédures déjà en place sans tout réinventer.</w:t>
              <w:br/>
              <w:t>• Déceler et stopper les pertes d'argent invisibles et fuites de marge.</w:t>
              <w:br/>
              <w:t>• Co-construire une feuille de route 100% sur-mesure pour votre entreprise.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Arial" w:hAnsi="Arial"/>
          <w:b/>
          <w:color w:val="C5A065"/>
          <w:sz w:val="18"/>
        </w:rPr>
        <w:t>SLIDE 03</w:t>
      </w:r>
    </w:p>
    <w:p>
      <w:pPr>
        <w:spacing w:after="40"/>
      </w:pPr>
      <w:r>
        <w:rPr>
          <w:rFonts w:ascii="Georgia" w:hAnsi="Georgia"/>
          <w:b/>
          <w:color w:val="1B4D3E"/>
          <w:sz w:val="32"/>
        </w:rPr>
        <w:t>LES 3 PILIERS DE ROBUSTESSE CABINET DELACOUR</w:t>
      </w:r>
    </w:p>
    <w:p>
      <w:pPr>
        <w:spacing w:after="200"/>
      </w:pPr>
      <w:r>
        <w:rPr>
          <w:rFonts w:ascii="Arial" w:hAnsi="Arial"/>
          <w:i/>
          <w:color w:val="555555"/>
          <w:sz w:val="20"/>
        </w:rPr>
        <w:t>Le socle méthodologique d'évaluation de la performance globale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7"/>
            <w:tcW w:w="4700" w:type="dxa"/>
            <w:shd w:fill="F9F9F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6" w:space="0" w:color="C5A065"/>
              <w:right w:val="single" w:sz="6" w:space="0" w:color="C5A065"/>
            </w:tcBorders>
          </w:tcPr>
          <w:p>
            <w:r>
              <w:rPr>
                <w:rFonts w:ascii="Georgia" w:hAnsi="Georgia"/>
                <w:b/>
                <w:color w:val="1B4D3E"/>
                <w:sz w:val="20"/>
              </w:rPr>
              <w:t>PILIER 1</w:t>
              <w:br/>
              <w:t>Identification &amp; Maîtrise des Risques</w:t>
              <w:br/>
              <w:br/>
            </w:r>
            <w:r>
              <w:rPr>
                <w:rFonts w:ascii="Arial" w:hAnsi="Arial"/>
                <w:sz w:val="17"/>
              </w:rPr>
              <w:t>Détecter et stopper les fuites de marge, les litiges et les coûts cachés de non-qualité.</w:t>
            </w:r>
          </w:p>
        </w:tc>
        <w:tc>
          <w:tcPr>
            <w:tcW w:type="dxa" w:w="7"/>
            <w:tcW w:w="4700" w:type="dxa"/>
            <w:shd w:fill="F9F9F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6" w:space="0" w:color="C5A065"/>
              <w:right w:val="single" w:sz="6" w:space="0" w:color="C5A065"/>
            </w:tcBorders>
          </w:tcPr>
          <w:p>
            <w:r>
              <w:rPr>
                <w:rFonts w:ascii="Georgia" w:hAnsi="Georgia"/>
                <w:b/>
                <w:color w:val="1B4D3E"/>
                <w:sz w:val="20"/>
              </w:rPr>
              <w:t>PILIER 2</w:t>
              <w:br/>
              <w:t>Structuration &amp; Souveraineté du Savoir</w:t>
              <w:br/>
              <w:br/>
            </w:r>
            <w:r>
              <w:rPr>
                <w:rFonts w:ascii="Arial" w:hAnsi="Arial"/>
                <w:sz w:val="17"/>
              </w:rPr>
              <w:t>Sécuriser le capital intellectuel, supprimer la dépendance aux hommes-clés et fluidifier les opérations.</w:t>
            </w:r>
          </w:p>
        </w:tc>
        <w:tc>
          <w:tcPr>
            <w:tcW w:type="dxa" w:w="7"/>
            <w:tcW w:w="4700" w:type="dxa"/>
            <w:shd w:fill="F9F9F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6" w:space="0" w:color="C5A065"/>
              <w:right w:val="single" w:sz="6" w:space="0" w:color="C5A065"/>
            </w:tcBorders>
          </w:tcPr>
          <w:p>
            <w:r>
              <w:rPr>
                <w:rFonts w:ascii="Georgia" w:hAnsi="Georgia"/>
                <w:b/>
                <w:color w:val="1B4D3E"/>
                <w:sz w:val="20"/>
              </w:rPr>
              <w:t>PILIER 3</w:t>
              <w:br/>
              <w:t>Pilotage Data &amp; Agilité Décisionnelle</w:t>
              <w:br/>
              <w:br/>
            </w:r>
            <w:r>
              <w:rPr>
                <w:rFonts w:ascii="Arial" w:hAnsi="Arial"/>
                <w:sz w:val="17"/>
              </w:rPr>
              <w:t>Remplacer l'intuition par la certitude mathématique, neutraliser les contrats toxiques et réagir sous 24h.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Arial" w:hAnsi="Arial"/>
          <w:b/>
          <w:color w:val="C5A065"/>
          <w:sz w:val="18"/>
        </w:rPr>
        <w:t>SLIDE 04</w:t>
      </w:r>
    </w:p>
    <w:p>
      <w:pPr>
        <w:spacing w:after="40"/>
      </w:pPr>
      <w:r>
        <w:rPr>
          <w:rFonts w:ascii="Georgia" w:hAnsi="Georgia"/>
          <w:b/>
          <w:color w:val="1B4D3E"/>
          <w:sz w:val="32"/>
        </w:rPr>
        <w:t>DÉROULEMENT &amp; PLANNING DE LA JOURNÉE D'AUDIT</w:t>
      </w:r>
    </w:p>
    <w:p>
      <w:pPr>
        <w:spacing w:after="200"/>
      </w:pPr>
      <w:r>
        <w:rPr>
          <w:rFonts w:ascii="Arial" w:hAnsi="Arial"/>
          <w:i/>
          <w:color w:val="555555"/>
          <w:sz w:val="20"/>
        </w:rPr>
        <w:t>Planning structuré en 5 Sessions Métiers de 08h30 à 17h45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"/>
            <w:tcW w:w="25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Horaires</w:t>
            </w:r>
          </w:p>
        </w:tc>
        <w:tc>
          <w:tcPr>
            <w:tcW w:type="dxa" w:w="11"/>
            <w:tcW w:w="70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Séquence / Étape d'Audit</w:t>
            </w:r>
          </w:p>
        </w:tc>
        <w:tc>
          <w:tcPr>
            <w:tcW w:type="dxa" w:w="8"/>
            <w:tcW w:w="5000" w:type="dxa"/>
            <w:shd w:fill="1B4D3E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Participants Requis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08h30 - 09h00</w:t>
            </w:r>
          </w:p>
        </w:tc>
        <w:tc>
          <w:tcPr>
            <w:tcW w:type="dxa" w:w="11"/>
            <w:tcW w:w="70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Réunion d'Ouverture &amp; Cadrage</w:t>
            </w:r>
          </w:p>
        </w:tc>
        <w:tc>
          <w:tcPr>
            <w:tcW w:type="dxa" w:w="8"/>
            <w:tcW w:w="50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Direction &amp; Responsable Qualité</w:t>
            </w:r>
          </w:p>
        </w:tc>
      </w:tr>
      <w:tr>
        <w:tc>
          <w:tcPr>
            <w:tcW w:type="dxa" w:w="4"/>
            <w:tcW w:w="25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09h00 - 10h30</w:t>
            </w:r>
          </w:p>
        </w:tc>
        <w:tc>
          <w:tcPr>
            <w:tcW w:type="dxa" w:w="11"/>
            <w:tcW w:w="70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Session 1 : Direction &amp; Pilotage Stratégique</w:t>
            </w:r>
          </w:p>
        </w:tc>
        <w:tc>
          <w:tcPr>
            <w:tcW w:type="dxa" w:w="8"/>
            <w:tcW w:w="50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Direction Générale &amp; COPIL (1h30)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10h30 - 11h45</w:t>
            </w:r>
          </w:p>
        </w:tc>
        <w:tc>
          <w:tcPr>
            <w:tcW w:type="dxa" w:w="11"/>
            <w:tcW w:w="70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Session 2 : Commercial, Offre &amp; Approvisionnements</w:t>
            </w:r>
          </w:p>
        </w:tc>
        <w:tc>
          <w:tcPr>
            <w:tcW w:type="dxa" w:w="8"/>
            <w:tcW w:w="50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Direction Commerciale &amp; Achats (1h15)</w:t>
            </w:r>
          </w:p>
        </w:tc>
      </w:tr>
      <w:tr>
        <w:tc>
          <w:tcPr>
            <w:tcW w:type="dxa" w:w="4"/>
            <w:tcW w:w="25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11h45 - 12h45</w:t>
            </w:r>
          </w:p>
        </w:tc>
        <w:tc>
          <w:tcPr>
            <w:tcW w:type="dxa" w:w="11"/>
            <w:tcW w:w="70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Pause Déjeuner &amp; Échanges informels</w:t>
            </w:r>
          </w:p>
        </w:tc>
        <w:tc>
          <w:tcPr>
            <w:tcW w:type="dxa" w:w="8"/>
            <w:tcW w:w="50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Pause repas (1 heure)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12h45 - 14h45</w:t>
            </w:r>
          </w:p>
        </w:tc>
        <w:tc>
          <w:tcPr>
            <w:tcW w:type="dxa" w:w="11"/>
            <w:tcW w:w="70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Session 3 : Opérations, Production &amp; Qualité Terrain</w:t>
            </w:r>
          </w:p>
        </w:tc>
        <w:tc>
          <w:tcPr>
            <w:tcW w:type="dxa" w:w="8"/>
            <w:tcW w:w="50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Responsables Production, Chefs d'Atelier (2h00)</w:t>
            </w:r>
          </w:p>
        </w:tc>
      </w:tr>
      <w:tr>
        <w:tc>
          <w:tcPr>
            <w:tcW w:type="dxa" w:w="4"/>
            <w:tcW w:w="25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14h45 - 15h45</w:t>
            </w:r>
          </w:p>
        </w:tc>
        <w:tc>
          <w:tcPr>
            <w:tcW w:type="dxa" w:w="11"/>
            <w:tcW w:w="70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Session 4 : RH, Compétences &amp; Souveraineté du Savoir</w:t>
            </w:r>
          </w:p>
        </w:tc>
        <w:tc>
          <w:tcPr>
            <w:tcW w:type="dxa" w:w="8"/>
            <w:tcW w:w="50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Responsable RH &amp; Managers (1h00)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15h45 - 16h45</w:t>
            </w:r>
          </w:p>
        </w:tc>
        <w:tc>
          <w:tcPr>
            <w:tcW w:type="dxa" w:w="11"/>
            <w:tcW w:w="70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Session 5 : Data, IT &amp; Agilité Décisionnelle</w:t>
            </w:r>
          </w:p>
        </w:tc>
        <w:tc>
          <w:tcPr>
            <w:tcW w:type="dxa" w:w="8"/>
            <w:tcW w:w="50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Responsable IT, Data &amp; SI (1h00)</w:t>
            </w:r>
          </w:p>
        </w:tc>
      </w:tr>
      <w:tr>
        <w:tc>
          <w:tcPr>
            <w:tcW w:type="dxa" w:w="4"/>
            <w:tcW w:w="25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16h45 - 17h15</w:t>
            </w:r>
          </w:p>
        </w:tc>
        <w:tc>
          <w:tcPr>
            <w:tcW w:type="dxa" w:w="11"/>
            <w:tcW w:w="70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Consolidation du Score &amp; Synthèse</w:t>
            </w:r>
          </w:p>
        </w:tc>
        <w:tc>
          <w:tcPr>
            <w:tcW w:type="dxa" w:w="8"/>
            <w:tcW w:w="5000" w:type="dxa"/>
            <w:shd w:fill="F9F9F7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Auditeur seul (30 min)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17h15 - 17h45</w:t>
            </w:r>
          </w:p>
        </w:tc>
        <w:tc>
          <w:tcPr>
            <w:tcW w:type="dxa" w:w="11"/>
            <w:tcW w:w="70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Restitution Flash &amp; Points Rouges 48h</w:t>
            </w:r>
          </w:p>
        </w:tc>
        <w:tc>
          <w:tcPr>
            <w:tcW w:type="dxa" w:w="8"/>
            <w:tcW w:w="5000" w:type="dxa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Direction Générale &amp; Responsable Qualité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Arial" w:hAnsi="Arial"/>
          <w:b/>
          <w:color w:val="C5A065"/>
          <w:sz w:val="18"/>
        </w:rPr>
        <w:t>SLIDE 05</w:t>
      </w:r>
    </w:p>
    <w:p>
      <w:pPr>
        <w:spacing w:after="40"/>
      </w:pPr>
      <w:r>
        <w:rPr>
          <w:rFonts w:ascii="Georgia" w:hAnsi="Georgia"/>
          <w:b/>
          <w:color w:val="1B4D3E"/>
          <w:sz w:val="32"/>
        </w:rPr>
        <w:t>MÉTHODOLOGIE, ALIGNEMENT &amp; RÈGLES DU JEU</w:t>
      </w:r>
    </w:p>
    <w:p>
      <w:pPr>
        <w:spacing w:after="200"/>
      </w:pPr>
      <w:r>
        <w:rPr>
          <w:rFonts w:ascii="Arial" w:hAnsi="Arial"/>
          <w:i/>
          <w:color w:val="555555"/>
          <w:sz w:val="20"/>
        </w:rPr>
        <w:t>Une démarche participative, factuelle et axée sur l'élimination des frictions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11"/>
            <w:tcW w:w="7100" w:type="dxa"/>
            <w:shd w:fill="F9F9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Georgia" w:hAnsi="Georgia"/>
                <w:b/>
                <w:color w:val="1B4D3E"/>
                <w:sz w:val="19"/>
              </w:rPr>
              <w:t>Intégration de vos Outils Existants</w:t>
              <w:br/>
            </w:r>
            <w:r>
              <w:rPr>
                <w:rFonts w:ascii="Arial" w:hAnsi="Arial"/>
                <w:sz w:val="17"/>
              </w:rPr>
              <w:t>Nous analysons et valorisons les dispositifs déjà déployés dans l'entreprise pour construire un SMQ pragmatique et fluide.</w:t>
            </w:r>
          </w:p>
        </w:tc>
        <w:tc>
          <w:tcPr>
            <w:tcW w:type="dxa" w:w="11"/>
            <w:tcW w:w="7100" w:type="dxa"/>
            <w:shd w:fill="F9F9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Georgia" w:hAnsi="Georgia"/>
                <w:b/>
                <w:color w:val="1B4D3E"/>
                <w:sz w:val="19"/>
              </w:rPr>
              <w:t>Plan d'Action Sur-Mesure</w:t>
              <w:br/>
            </w:r>
            <w:r>
              <w:rPr>
                <w:rFonts w:ascii="Arial" w:hAnsi="Arial"/>
                <w:sz w:val="17"/>
              </w:rPr>
              <w:t>Chaque entreprise est unique : la feuille de route d'exécution est adaptée à votre contexte, vos équipes et vos ressources.</w:t>
            </w:r>
          </w:p>
        </w:tc>
      </w:tr>
      <w:tr>
        <w:tc>
          <w:tcPr>
            <w:tcW w:type="dxa" w:w="11"/>
            <w:tcW w:w="7100" w:type="dxa"/>
            <w:shd w:fill="F9F9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Georgia" w:hAnsi="Georgia"/>
                <w:b/>
                <w:color w:val="1B4D3E"/>
                <w:sz w:val="19"/>
              </w:rPr>
              <w:t>Examen Factuel &amp; Échelle 0 à 3</w:t>
              <w:br/>
            </w:r>
            <w:r>
              <w:rPr>
                <w:rFonts w:ascii="Arial" w:hAnsi="Arial"/>
                <w:sz w:val="17"/>
              </w:rPr>
              <w:t>Évaluation objective basée sur les preuves réelles (documents, enregistrements) selon le barème : 0 (Écart Majeur) à 3 (Excellence &amp; ROI).</w:t>
            </w:r>
          </w:p>
        </w:tc>
        <w:tc>
          <w:tcPr>
            <w:tcW w:type="dxa" w:w="11"/>
            <w:tcW w:w="7100" w:type="dxa"/>
            <w:shd w:fill="F9F9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Georgia" w:hAnsi="Georgia"/>
                <w:b/>
                <w:color w:val="1B4D3E"/>
                <w:sz w:val="19"/>
              </w:rPr>
              <w:t>Confidentialité Totale</w:t>
              <w:br/>
            </w:r>
            <w:r>
              <w:rPr>
                <w:rFonts w:ascii="Arial" w:hAnsi="Arial"/>
                <w:sz w:val="17"/>
              </w:rPr>
              <w:t>Le Cabinet Delacour garantit le secret professionnel absolu sur l'ensemble des données, processus et échanges de la mission.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Arial" w:hAnsi="Arial"/>
          <w:b/>
          <w:color w:val="C5A065"/>
          <w:sz w:val="18"/>
        </w:rPr>
        <w:t>SLIDE 06</w:t>
      </w:r>
    </w:p>
    <w:p>
      <w:pPr>
        <w:spacing w:after="40"/>
      </w:pPr>
      <w:r>
        <w:rPr>
          <w:rFonts w:ascii="Georgia" w:hAnsi="Georgia"/>
          <w:b/>
          <w:color w:val="1B4D3E"/>
          <w:sz w:val="32"/>
        </w:rPr>
        <w:t>PROCHAINES ÉTAPES &amp; LIVRABLES RESTITUÉS</w:t>
      </w:r>
    </w:p>
    <w:p>
      <w:pPr>
        <w:spacing w:after="200"/>
      </w:pPr>
      <w:r>
        <w:rPr>
          <w:rFonts w:ascii="Arial" w:hAnsi="Arial"/>
          <w:i/>
          <w:color w:val="555555"/>
          <w:sz w:val="20"/>
        </w:rPr>
        <w:t>Des réponses immédiates et un plan de bataille à court terme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11"/>
            <w:tcW w:w="7100" w:type="dxa"/>
            <w:shd w:fill="F9F9F7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6" w:space="0" w:color="C5A065"/>
              <w:bottom w:val="single" w:sz="6" w:space="0" w:color="C5A065"/>
              <w:right w:val="single" w:sz="6" w:space="0" w:color="C5A065"/>
            </w:tcBorders>
          </w:tcPr>
          <w:p>
            <w:r>
              <w:rPr>
                <w:rFonts w:ascii="Georgia" w:hAnsi="Georgia"/>
                <w:b/>
                <w:color w:val="1B4D3E"/>
                <w:sz w:val="21"/>
              </w:rPr>
              <w:t>Restitution Flash à 17h15 aujourd'hui</w:t>
              <w:br/>
              <w:br/>
            </w:r>
            <w:r>
              <w:rPr>
                <w:rFonts w:ascii="Arial" w:hAnsi="Arial"/>
                <w:sz w:val="18"/>
              </w:rPr>
              <w:t>• Présentation des 3 à 5 'Points Rouges' (vulnérabilités majeures nécessitant une intervention sous 48h).</w:t>
              <w:br/>
              <w:t>• Restitution orale du niveau global de maturité par session.</w:t>
              <w:br/>
              <w:t>• Échanges à chaud avec la Direction.</w:t>
            </w:r>
          </w:p>
        </w:tc>
        <w:tc>
          <w:tcPr>
            <w:tcW w:type="dxa" w:w="11"/>
            <w:tcW w:w="7100" w:type="dxa"/>
            <w:shd w:fill="F9F9F7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6" w:space="0" w:color="C5A065"/>
              <w:bottom w:val="single" w:sz="6" w:space="0" w:color="C5A065"/>
              <w:right w:val="single" w:sz="6" w:space="0" w:color="C5A065"/>
            </w:tcBorders>
          </w:tcPr>
          <w:p>
            <w:r>
              <w:rPr>
                <w:rFonts w:ascii="Georgia" w:hAnsi="Georgia"/>
                <w:b/>
                <w:color w:val="1B4D3E"/>
                <w:sz w:val="21"/>
              </w:rPr>
              <w:t>Rapport Complet &amp; Plan d'Action sous 5 jours</w:t>
              <w:br/>
              <w:br/>
            </w:r>
            <w:r>
              <w:rPr>
                <w:rFonts w:ascii="Arial" w:hAnsi="Arial"/>
                <w:sz w:val="18"/>
              </w:rPr>
              <w:t>• Remise de la Grille d'Audit complète et formalisée.</w:t>
              <w:br/>
              <w:t>• Feuille de route d'exécution structurée :</w:t>
              <w:br/>
              <w:t xml:space="preserve">  - Court terme (15 jours) : Colmatage des fuites de cash.</w:t>
              <w:br/>
              <w:t xml:space="preserve">  - Moyen terme (3 mois) : Boîte à outils documentaire.</w:t>
              <w:br/>
              <w:t xml:space="preserve">  - Long terme (6 mois) : Dashboard Data &amp; Audit Blanc.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Arial" w:hAnsi="Arial"/>
          <w:b/>
          <w:color w:val="C5A065"/>
          <w:sz w:val="18"/>
        </w:rPr>
        <w:t>SLIDE 07</w:t>
      </w:r>
    </w:p>
    <w:p>
      <w:pPr>
        <w:spacing w:after="40"/>
      </w:pPr>
      <w:r>
        <w:rPr>
          <w:rFonts w:ascii="Georgia" w:hAnsi="Georgia"/>
          <w:b/>
          <w:color w:val="1B4D3E"/>
          <w:sz w:val="32"/>
        </w:rPr>
        <w:t>QUESTIONS RÉPONSES &amp; LANCEMENT</w:t>
      </w:r>
    </w:p>
    <w:p>
      <w:pPr>
        <w:spacing w:after="200"/>
      </w:pPr>
      <w:r>
        <w:rPr>
          <w:rFonts w:ascii="Arial" w:hAnsi="Arial"/>
          <w:i/>
          <w:color w:val="555555"/>
          <w:sz w:val="20"/>
        </w:rPr>
        <w:t>Avez-vous des questions avant de démarrer la première session d'interview 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23"/>
            <w:tcW w:w="14500" w:type="dxa"/>
            <w:shd w:fill="F9F9F7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D0D7D1"/>
              <w:left w:val="single" w:sz="24" w:space="0" w:color="1B4D3E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20"/>
              </w:rPr>
              <w:t>Merci pour votre accueil et votre confiance.</w:t>
              <w:br/>
              <w:br/>
              <w:t>Nous enchaînons directement avec la SESSION 1 : DIRECTION &amp; PILOTAGE STRATÉGIQUE (Direction Générale &amp; COPIL).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right" w:pos="15000"/>
      </w:tabs>
    </w:pPr>
    <w:r>
      <w:rPr>
        <w:rFonts w:ascii="Arial" w:hAnsi="Arial"/>
        <w:color w:val="555555"/>
        <w:sz w:val="17"/>
      </w:rPr>
      <w:t>Cabinet Delacour • Support Réunion d'Ouverture Audit SMQ</w:t>
      <w:tab/>
      <w:tab/>
      <w:t xml:space="preserve">Diapositive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9144000" cy="66805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0" cy="66805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