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05 — Clause ISO 9001:2015 • 6.1 • Question Q5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Registre des Risques &amp; Opportunités (AMDEC Simplifiée)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L'AMDEC est un outil d'arbitrage financier. Ne notez pas les risques selon les ressentis affectifs : appliquez la cotation Fréquence (1-5) x Gravité (1-5) pour stopper les querelles et investir là où c'est vital.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Risques Ventes &amp; Appro</w:t>
              <w:br/>
            </w:r>
            <w:r>
              <w:rPr>
                <w:rFonts w:ascii="Arial" w:hAnsi="Arial"/>
                <w:color w:val="1B4D3E"/>
                <w:sz w:val="15"/>
              </w:rPr>
              <w:t>Devis chiffré sans marge brute suffisante, fournisseur unique sur composant critique.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Risques Prod &amp; IT</w:t>
              <w:br/>
            </w:r>
            <w:r>
              <w:rPr>
                <w:rFonts w:ascii="Arial" w:hAnsi="Arial"/>
                <w:color w:val="1B4D3E"/>
                <w:sz w:val="15"/>
              </w:rPr>
              <w:t>Panne de machine unique sans contrat de maintenance préventive, perte des données suite virus IT.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Risques Humains &amp; Sécurité</w:t>
              <w:br/>
            </w:r>
            <w:r>
              <w:rPr>
                <w:rFonts w:ascii="Arial" w:hAnsi="Arial"/>
                <w:color w:val="1B4D3E"/>
                <w:sz w:val="15"/>
              </w:rPr>
              <w:t>Départ imprévu du seul régleur sans procédure écrite, accident du travail sur carter manquant.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Priorisation scientifique des investissements par le chiffre (ROI).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Neutralisation des pannes et crises avant survenance.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Tranquillité d'esprit du dirigeant d'entreprise.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Dépenses à l'aveugle dans des actions secondaires.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Arrêt brutal d'activité non anticipé.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ISO 9001 (Clause 6.1).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PROTECTIONS DE MARGE BRUTE (€) :</w:t>
              <w:br/>
            </w:r>
            <w:r>
              <w:rPr>
                <w:rFonts w:ascii="Arial" w:hAnsi="Arial"/>
                <w:sz w:val="16"/>
              </w:rPr>
              <w:t>• Rentabilité des investissements préventifs et pérennité de l'outil de production.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Pertes financières directes et surcoûts d'arrêts de production non anticipés.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01A &amp; 01B (SWOT &amp; PESTEL) : Diagnostic des menaces externes et faiblesses.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(FNC) : Historique des pannes et non-conformités répétitives.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06 (Objectifs SMART) : Cibles de réduction des risques prioritaires (FxG ≥ 10).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07 (Revue Direction) : Bilan d'arbitrage de la cartographie des risques.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Noter Fréquence (F: 1 à 5) et Gravité (G: 1 à 5) pour chaque risque.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Calculer le Score de Criticité (C = F x G).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Si Score ≥ 10 (Zone Majeure), engager l'action préventive OBLIGATOIRE avec ROI.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Attribuer 1 pilote et 1 date d'échéance par action.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LE REGISTRE AMDEC DÉTAILLÉ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tcW w:w="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1051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Risque / Vulnérabilité Identifiée</w:t>
            </w:r>
          </w:p>
        </w:tc>
        <w:tc>
          <w:tcPr>
            <w:tcW w:type="dxa" w:w="1051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Cause Racine</w:t>
            </w:r>
          </w:p>
        </w:tc>
        <w:tc>
          <w:tcPr>
            <w:tcW w:type="dxa" w:w="1051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Fréq (1-5)</w:t>
            </w:r>
          </w:p>
        </w:tc>
        <w:tc>
          <w:tcPr>
            <w:tcW w:type="dxa" w:w="1051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Grav (1-5)</w:t>
            </w:r>
          </w:p>
        </w:tc>
        <w:tc>
          <w:tcPr>
            <w:tcW w:type="dxa" w:w="1051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Score (FxG)</w:t>
            </w:r>
          </w:p>
        </w:tc>
        <w:tc>
          <w:tcPr>
            <w:tcW w:type="dxa" w:w="1051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Préventive à Déployer</w:t>
            </w:r>
          </w:p>
        </w:tc>
        <w:tc>
          <w:tcPr>
            <w:tcW w:type="dxa" w:w="1051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Budget / ROI Estimé</w:t>
            </w:r>
          </w:p>
        </w:tc>
        <w:tc>
          <w:tcPr>
            <w:tcW w:type="dxa" w:w="1051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051"/>
            <w:tcW w:w="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R1</w:t>
            </w:r>
          </w:p>
        </w:tc>
        <w:tc>
          <w:tcPr>
            <w:tcW w:type="dxa" w:w="1051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de chiffrage sur devis complexe</w:t>
            </w:r>
          </w:p>
        </w:tc>
        <w:tc>
          <w:tcPr>
            <w:tcW w:type="dxa" w:w="1051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Calcul de marge manuel sur Excel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051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 (Majeur)</w:t>
            </w:r>
          </w:p>
        </w:tc>
        <w:tc>
          <w:tcPr>
            <w:tcW w:type="dxa" w:w="1051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Imposer une grille de validation obligatoire devis &gt; 10k€</w:t>
            </w:r>
          </w:p>
        </w:tc>
        <w:tc>
          <w:tcPr>
            <w:tcW w:type="dxa" w:w="1051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ROI : Évite 20k€ d'affaires à perte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</w:t>
            </w:r>
          </w:p>
        </w:tc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R2</w:t>
            </w:r>
          </w:p>
        </w:tc>
        <w:tc>
          <w:tcPr>
            <w:tcW w:type="dxa" w:w="1051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Rupture d'approvisionnement matière</w:t>
            </w:r>
          </w:p>
        </w:tc>
        <w:tc>
          <w:tcPr>
            <w:tcW w:type="dxa" w:w="1051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Fournisseur unique sur composant X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051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 (Majeur)</w:t>
            </w:r>
          </w:p>
        </w:tc>
        <w:tc>
          <w:tcPr>
            <w:tcW w:type="dxa" w:w="1051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Homologuer un 2ème fournisseur de secours sous 30 jours</w:t>
            </w:r>
          </w:p>
        </w:tc>
        <w:tc>
          <w:tcPr>
            <w:tcW w:type="dxa" w:w="1051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: 500€ d'essais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R3</w:t>
            </w:r>
          </w:p>
        </w:tc>
        <w:tc>
          <w:tcPr>
            <w:tcW w:type="dxa" w:w="1051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Panne prolongée machine découpe Laser</w:t>
            </w:r>
          </w:p>
        </w:tc>
        <w:tc>
          <w:tcPr>
            <w:tcW w:type="dxa" w:w="1051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de maintenance préventive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051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(Moyen)</w:t>
            </w:r>
          </w:p>
        </w:tc>
        <w:tc>
          <w:tcPr>
            <w:tcW w:type="dxa" w:w="1051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Souscrire contrat de maintenance préventive constructeur</w:t>
            </w:r>
          </w:p>
        </w:tc>
        <w:tc>
          <w:tcPr>
            <w:tcW w:type="dxa" w:w="1051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: 1 500€/an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Prod</w:t>
            </w:r>
          </w:p>
        </w:tc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R4</w:t>
            </w:r>
          </w:p>
        </w:tc>
        <w:tc>
          <w:tcPr>
            <w:tcW w:type="dxa" w:w="1051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Départ imprévu du Chef d'Atelier</w:t>
            </w:r>
          </w:p>
        </w:tc>
        <w:tc>
          <w:tcPr>
            <w:tcW w:type="dxa" w:w="1051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Absences de procédures écrites au poste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051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(Moyen)</w:t>
            </w:r>
          </w:p>
        </w:tc>
        <w:tc>
          <w:tcPr>
            <w:tcW w:type="dxa" w:w="1051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Rédiger les modes opératoires et former un binôme</w:t>
            </w:r>
          </w:p>
        </w:tc>
        <w:tc>
          <w:tcPr>
            <w:tcW w:type="dxa" w:w="1051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Temps interne 20h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 / Prod</w:t>
            </w:r>
          </w:p>
        </w:tc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R5</w:t>
            </w:r>
          </w:p>
        </w:tc>
        <w:tc>
          <w:tcPr>
            <w:tcW w:type="dxa" w:w="1051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Pertes de données suite cyberattaque</w:t>
            </w:r>
          </w:p>
        </w:tc>
        <w:tc>
          <w:tcPr>
            <w:tcW w:type="dxa" w:w="1051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Sauvegardes manuelles irrégulières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051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(Faible)</w:t>
            </w:r>
          </w:p>
        </w:tc>
        <w:tc>
          <w:tcPr>
            <w:tcW w:type="dxa" w:w="1051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Automatiser des sauvegardes Cloud quotidiennes</w:t>
            </w:r>
          </w:p>
        </w:tc>
        <w:tc>
          <w:tcPr>
            <w:tcW w:type="dxa" w:w="1051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: 30€/mois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R6</w:t>
            </w:r>
          </w:p>
        </w:tc>
        <w:tc>
          <w:tcPr>
            <w:tcW w:type="dxa" w:w="1051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Accident du travail sur machine découpe</w:t>
            </w:r>
          </w:p>
        </w:tc>
        <w:tc>
          <w:tcPr>
            <w:tcW w:type="dxa" w:w="1051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Protection carter retirée par l'opérateur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051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(Faible)</w:t>
            </w:r>
          </w:p>
        </w:tc>
        <w:tc>
          <w:tcPr>
            <w:tcW w:type="dxa" w:w="1051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Remettre le carter + consigne visuelle de sécurité</w:t>
            </w:r>
          </w:p>
        </w:tc>
        <w:tc>
          <w:tcPr>
            <w:tcW w:type="dxa" w:w="1051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Temps interne 2h</w:t>
            </w:r>
          </w:p>
        </w:tc>
        <w:tc>
          <w:tcPr>
            <w:tcW w:type="dxa" w:w="1051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051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  <w:tr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051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du risque]</w:t>
            </w:r>
          </w:p>
        </w:tc>
        <w:tc>
          <w:tcPr>
            <w:tcW w:type="dxa" w:w="1051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[Cause]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[1-5]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[1-5]</w:t>
            </w:r>
          </w:p>
        </w:tc>
        <w:tc>
          <w:tcPr>
            <w:tcW w:type="dxa" w:w="1051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[FxG]</w:t>
            </w:r>
          </w:p>
        </w:tc>
        <w:tc>
          <w:tcPr>
            <w:tcW w:type="dxa" w:w="1051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préventive]</w:t>
            </w:r>
          </w:p>
        </w:tc>
        <w:tc>
          <w:tcPr>
            <w:tcW w:type="dxa" w:w="1051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[Budget/ROI]</w:t>
            </w:r>
          </w:p>
        </w:tc>
        <w:tc>
          <w:tcPr>
            <w:tcW w:type="dxa" w:w="1051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051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Arbitrage budgétaire DG sur les risques majeurs (Score ≥ 10).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Délégation des actions aux responsables de pôles.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Raccordement à la Feuille de Route SMART (Outil 06).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Revue trimestrielle de recalcul de criticité.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GED : Enregistrer sous 01_DIRECTION_STRATEGIE/REGISTRE_AMDEC_RISQUES.xlsx.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