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07 — Clause ISO 9001:2015 • 9.3 • Question Q7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Procès-Verbal de Revue de Direction Complexe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La Revue de Direction n'est pas une simple réunion d'information : c'est le conseil d'administration opérationnel de la Qualité. Suivez scrupuleusement les 7 points normatifs pour ressortir avec des arbitrages et des budgets votés.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Équipements &amp; Outillage</w:t>
              <w:br/>
            </w:r>
            <w:r>
              <w:rPr>
                <w:rFonts w:ascii="Arial" w:hAnsi="Arial"/>
                <w:color w:val="1B4D3E"/>
                <w:sz w:val="15"/>
              </w:rPr>
              <w:t>Arbitrages d'achats de nouvelles machines, outillage de contrôle dimensionnel.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Ressources Humaines</w:t>
              <w:br/>
            </w:r>
            <w:r>
              <w:rPr>
                <w:rFonts w:ascii="Arial" w:hAnsi="Arial"/>
                <w:color w:val="1B4D3E"/>
                <w:sz w:val="15"/>
              </w:rPr>
              <w:t>Validation des budgets de formation polyvalence, recrutements de binômes.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Audits &amp; GED</w:t>
              <w:br/>
            </w:r>
            <w:r>
              <w:rPr>
                <w:rFonts w:ascii="Arial" w:hAnsi="Arial"/>
                <w:color w:val="1B4D3E"/>
                <w:sz w:val="15"/>
              </w:rPr>
              <w:t>Validation du programme d'audit interne, déploiement de l'arborescence GED Cloud.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N°1 absolue exigée par l'auditeur ISO 9001.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Arbitrages budgétaires officiels du DG consignés.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Pilotage stratégique annuel consolidé.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Refus de certification ISO 9001 (Défaut normatif majeur).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Direction déconnectée des réalités et des coûts cachés.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Blocage des investissements matériels et RH.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Préparer les données en amont (2h) : Dashboard (Outil 03), SWOT, AMDEC, Réclamations.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Animer la réunion en 1h chrono en suivant les 7 points normatifs.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Consigner les décisions et arbitrages budgétaires.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Faire apposer toutes les signatures manuscrites.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MODÈLE DE PV DE REVUE DE DIRECTION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DFDFD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b/>
              </w:rPr>
              <w:t>PROCÈS-VERBAL DE REVUE DE DIRECTION COMPLÈTE</w:t>
              <w:br/>
              <w:br/>
            </w:r>
            <w:r>
              <w:rPr>
                <w:b/>
              </w:rPr>
              <w:t xml:space="preserve">Société : </w:t>
            </w:r>
            <w:r>
              <w:t>[Cliquez et saisissez le Nom de votre Entreprise]</w:t>
              <w:br/>
            </w:r>
            <w:r>
              <w:rPr>
                <w:b/>
              </w:rPr>
              <w:t xml:space="preserve">Date de mise à jour : </w:t>
            </w:r>
            <w:r>
              <w:t>[Date du jour] | Version : 1.0</w:t>
              <w:br/>
              <w:br/>
            </w:r>
            <w:r>
              <w:t>Notre démarche Qualité a un objectif simple et pragmatique : garantir la pérennité de notre entreprise, protéger nos marges brutes et assurer la satisfaction totale de nos clients.</w:t>
              <w:br/>
              <w:br/>
            </w:r>
            <w:r>
              <w:rPr>
                <w:b/>
              </w:rPr>
              <w:t>NOS 3 ENGAGEMENTS STRATÉGIQUES INVIOLABLES :</w:t>
              <w:br/>
              <w:br/>
            </w:r>
            <w:r>
              <w:rPr>
                <w:b/>
              </w:rPr>
              <w:t>1. ZÉRO GASPILLAGE &amp; RENTABILITÉ :</w:t>
              <w:br/>
            </w:r>
            <w:r>
              <w:t>- Stopper les coûts cachés en réalisant chaque prestation conforme du premier coup.</w:t>
              <w:br/>
              <w:t>- Ne valider aucun devis ni contrat en dessous de notre seuil de marge brute cible (35%).</w:t>
              <w:br/>
              <w:br/>
            </w:r>
            <w:r>
              <w:rPr>
                <w:b/>
              </w:rPr>
              <w:t>2. CHASSE AUX DÉLAIS &amp; EXCELLENCE CLIENT :</w:t>
              <w:br/>
            </w:r>
            <w:r>
              <w:t>- Respecter 100% de nos engagements de livraison envers nos clients.</w:t>
              <w:br/>
              <w:t>- Prendre en charge et répondre à toute réclamation client sous 24 heures maximum.</w:t>
              <w:br/>
              <w:br/>
            </w:r>
            <w:r>
              <w:rPr>
                <w:b/>
              </w:rPr>
              <w:t>3. SOUVERAINETÉ DU SAVOIR &amp; SÉRÉNITÉ DES ÉQUIPES :</w:t>
              <w:br/>
            </w:r>
            <w:r>
              <w:t>- Clarifier les rôles de chacun (Matrice RACI) pour travailler sans stress ni dépendance.</w:t>
              <w:br/>
              <w:t>- Développer la polyvalence des compétences pour garantir la continuité d'activité.</w:t>
              <w:br/>
              <w:br/>
            </w:r>
            <w:r>
              <w:rPr>
                <w:b/>
              </w:rPr>
              <w:t>1. ÉTAT DES ACTIONS DE LA REVUE PRÉCÉDENTE (9.3.2.a) :</w:t>
              <w:br/>
            </w:r>
            <w:r>
              <w:t>- Action 1 : Déploiement de l'arborescence GED 30s ──► [Finalisée et fonctionnelle]</w:t>
              <w:br/>
              <w:t>- Action 2 : Formation de 2 opérateurs au contrôle dimensionnel ──► [Finalisée]</w:t>
              <w:br/>
              <w:br/>
            </w:r>
            <w:r>
              <w:rPr>
                <w:b/>
              </w:rPr>
              <w:t>2. ÉVOLUTION DES ENJEUX INTERNES / EXTERNES (SWOT &amp; PESTEL - 9.3.2.b) :</w:t>
              <w:br/>
            </w:r>
            <w:r>
              <w:t>- Hausse constatée des matières premières de +15% ──► Décision d'indexer nos devis sur le cours d'achat.</w:t>
              <w:br/>
              <w:t>- Pénurie locale de main d'œuvre ──► Validation du programme de polyvalence et binômage atelier.</w:t>
              <w:br/>
              <w:br/>
            </w:r>
            <w:r>
              <w:rPr>
                <w:b/>
              </w:rPr>
              <w:t>3. INFORMATIONS SUR LA PERFORMANCE DU SMQ (9.3.2.c) :</w:t>
              <w:br/>
            </w:r>
            <w:r>
              <w:t>- Satisfaction client &amp; Réclamations : 96.5% de satisfaction (NPS 48), 4 réclamations traitées sous 24h.</w:t>
              <w:br/>
              <w:t>- Atteinte des objectifs SMART : 4 objectifs sur 5 atteints (Rebuts réduits à 1.3%).</w:t>
              <w:br/>
              <w:t>- Non-conformités et coûts cachés : Coût total de non-qualité ramené à 4 100 € sur l'année.</w:t>
              <w:br/>
              <w:t>- Résultats des audits internes : Audit réalisé le 15/01 (1 écart mineur corrigé sous 15 jours).</w:t>
              <w:br/>
              <w:t>- Performance des fournisseurs : 2 fournisseurs principaux évalués à 17/20, sous-traitant B sous réseau.</w:t>
              <w:br/>
              <w:br/>
            </w:r>
            <w:r>
              <w:rPr>
                <w:b/>
              </w:rPr>
              <w:t>4. ADÉQUATION DES RESSOURCES (9.3.2.d) :</w:t>
              <w:br/>
            </w:r>
            <w:r>
              <w:t>- Ressources humaines et compétences globalement satisfaisantes.</w:t>
              <w:br/>
              <w:t>- Validation de l'achat d'une imprimante d'étiquettes code-barres pour le bac quarantaine atelier.</w:t>
              <w:br/>
              <w:br/>
            </w:r>
            <w:r>
              <w:rPr>
                <w:b/>
              </w:rPr>
              <w:t>5. EFFICACITÉ DES ACTIONS FACE AUX RISQUES (AMDEC - 9.3.2.e) :</w:t>
              <w:br/>
            </w:r>
            <w:r>
              <w:t>- Le risque de rupture approvisionnement a été neutralisé par l'homologation d'un 2ème fournisseur.</w:t>
              <w:br/>
              <w:br/>
            </w:r>
            <w:r>
              <w:rPr>
                <w:b/>
              </w:rPr>
              <w:t>6. OPPORTUNITÉS D'AMÉLIORATION &amp; ROI ESTIMÉ (9.3.2.f) :</w:t>
              <w:br/>
            </w:r>
            <w:r>
              <w:t>- Automatisation des remontées de données sur dashboard digital (Gain estimé : 5h/mois).</w:t>
              <w:br/>
              <w:br/>
            </w:r>
            <w:r>
              <w:rPr>
                <w:b/>
              </w:rPr>
              <w:t>7. DÉCISIONS &amp; ARBITRAGES BUDGETAIRES DE LA DIRECTION (9.3.3) :</w:t>
              <w:br/>
            </w:r>
            <w:r>
              <w:t>- Décision 1 : Budget de 3 500 € validé pour la formation polyvalence et sécurité atelier.</w:t>
              <w:br/>
              <w:t>- Décision 2 : Validation du programme d'audit interne pour l'année 2026.</w:t>
              <w:br/>
              <w:t>- Décision 3 : Maintien de l'objectif de certification ISO 9001 pour le 30 Juin.</w:t>
              <w:br/>
              <w:br/>
            </w:r>
            <w:r>
              <w:rPr>
                <w:b/>
              </w:rPr>
              <w:t>Signatures des Participants au Comité :</w:t>
              <w:br/>
              <w:br/>
            </w:r>
            <w:r>
              <w:t>DG : ___________________________          QSE : ___________________________</w:t>
              <w:br/>
              <w:br/>
            </w:r>
            <w:r>
              <w:t>Resp. Com : ____________________          Chef Prod : 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Émargement manuscrit obligatoire du DG et des participants.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01_DIRECTION_STRATEGIE/PV_REVUE_DIRECTION_2026.pdf.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Communication d'une note synthétique 1 page aux salariés.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