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512"/>
      </w:tblGrid>
      <w:tr>
        <w:tc>
          <w:tcPr>
            <w:tcW w:type="dxa" w:w="10512"/>
            <w:tcW w:w="10200" w:type="dxa"/>
            <w:shd w:fill="F9F9F7"/>
            <w:tcMar>
              <w:top w:w="100" w:type="dxa"/>
              <w:bottom w:w="100" w:type="dxa"/>
              <w:left w:w="140" w:type="dxa"/>
              <w:right w:w="140" w:type="dxa"/>
            </w:tcMar>
            <w:tcBorders>
              <w:top w:val="single" w:sz="4" w:space="0" w:color="E2DCCC"/>
              <w:left w:val="single" w:sz="24" w:space="0" w:color="C5A065"/>
              <w:bottom w:val="single" w:sz="4" w:space="0" w:color="E2DCCC"/>
              <w:right w:val="single" w:sz="4" w:space="0" w:color="E2DCCC"/>
              <w:insideH w:val="none"/>
              <w:insideV w:val="none"/>
            </w:tcBorders>
          </w:tcPr>
          <w:p>
            <w:pPr>
              <w:spacing w:after="40"/>
            </w:pPr>
            <w:r>
              <w:rPr>
                <w:rFonts w:ascii="Arial" w:hAnsi="Arial"/>
                <w:b/>
                <w:color w:val="C5A065"/>
                <w:sz w:val="17"/>
              </w:rPr>
              <w:t>SÉQUENCE 4 • OUTIL 27 — Clause ISO 9001:2015 • 9.2 • Question Q27</w:t>
              <w:br/>
            </w:r>
            <w:r>
              <w:rPr>
                <w:rFonts w:ascii="Georgia" w:hAnsi="Georgia"/>
                <w:b/>
                <w:color w:val="1B4D3E"/>
                <w:sz w:val="29"/>
              </w:rPr>
              <w:t>Programme Annuel &amp; Trame d'Audit Interne SMQ</w:t>
            </w:r>
          </w:p>
        </w:tc>
      </w:tr>
    </w:tbl>
    <w:p>
      <w:pPr>
        <w:spacing w:after="80"/>
      </w:pPr>
    </w:p>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7F9F8"/>
            <w:tcMar>
              <w:top w:w="80" w:type="dxa"/>
              <w:bottom w:w="60" w:type="dxa"/>
              <w:left w:w="120" w:type="dxa"/>
              <w:right w:w="120" w:type="dxa"/>
            </w:tcMar>
            <w:tcBorders>
              <w:top w:val="single" w:sz="4" w:space="0" w:color="4A6C5C"/>
              <w:left w:val="single" w:sz="24" w:space="0" w:color="1B4D3E"/>
              <w:bottom w:val="single" w:sz="4" w:space="0" w:color="E2DCCC"/>
              <w:right w:val="single" w:sz="4" w:space="0" w:color="4A6C5C"/>
              <w:insideH w:val="none"/>
              <w:insideV w:val="none"/>
            </w:tcBorders>
          </w:tcPr>
          <w:p>
            <w:pPr>
              <w:spacing w:after="0"/>
            </w:pPr>
            <w:r>
              <w:rPr>
                <w:rFonts w:ascii="Georgia" w:hAnsi="Georgia"/>
                <w:b/>
                <w:color w:val="1B4D3E"/>
                <w:sz w:val="20"/>
              </w:rPr>
              <w:t>CONSEILS CONSULTANT &amp; EXEMPLES DE THÉMATIQUES À EXPLORER</w:t>
            </w:r>
          </w:p>
        </w:tc>
      </w:tr>
      <w:tr>
        <w:tc>
          <w:tcPr>
            <w:tcW w:type="dxa" w:w="10512"/>
            <w:gridSpan w:val="2"/>
            <w:tcW w:w="10200" w:type="dxa"/>
            <w:shd w:fill="F7F9F8"/>
            <w:tcMar>
              <w:top w:w="40" w:type="dxa"/>
              <w:bottom w:w="60" w:type="dxa"/>
              <w:left w:w="120" w:type="dxa"/>
              <w:right w:w="120" w:type="dxa"/>
            </w:tcMar>
            <w:tcBorders>
              <w:top w:val="none"/>
              <w:left w:val="single" w:sz="24" w:space="0" w:color="1B4D3E"/>
              <w:bottom w:val="single" w:sz="4" w:space="0" w:color="E2DCCC"/>
              <w:right w:val="single" w:sz="4" w:space="0" w:color="4A6C5C"/>
              <w:insideH w:val="none"/>
              <w:insideV w:val="none"/>
            </w:tcBorders>
          </w:tcPr>
          <w:p>
            <w:pPr>
              <w:spacing w:after="0"/>
            </w:pPr>
            <w:r>
              <w:rPr>
                <w:rFonts w:ascii="Arial" w:hAnsi="Arial"/>
                <w:b/>
                <w:color w:val="1B4D3E"/>
                <w:sz w:val="16"/>
              </w:rPr>
              <w:t xml:space="preserve">Posture &amp; Animation : </w:t>
            </w:r>
            <w:r>
              <w:rPr>
                <w:rFonts w:ascii="Arial" w:hAnsi="Arial"/>
                <w:i/>
                <w:sz w:val="16"/>
              </w:rPr>
              <w:t>Réalisez un audit interne rigoureux une fois par an pour vérifier la robustesse de votre organisation avant l'audit de certification ISO 9001. L'audit interne est votre meilleur outil de détection d'opportunités d'amélioration !</w:t>
            </w:r>
          </w:p>
        </w:tc>
      </w:tr>
      <w:tr>
        <w:tc>
          <w:tcPr>
            <w:tcW w:type="dxa" w:w="5256"/>
            <w:tcW w:w="5100" w:type="dxa"/>
            <w:shd w:fill="FFFFFF"/>
            <w:tcMar>
              <w:top w:w="60" w:type="dxa"/>
              <w:bottom w:w="60" w:type="dxa"/>
              <w:left w:w="100" w:type="dxa"/>
              <w:right w:w="100" w:type="dxa"/>
            </w:tcMar>
            <w:tcBorders>
              <w:top w:val="single" w:sz="4" w:space="0" w:color="E2DCCC"/>
              <w:left w:val="single" w:sz="24" w:space="0" w:color="1B4D3E"/>
              <w:bottom w:val="single" w:sz="4" w:space="0" w:color="E2DCCC"/>
              <w:right w:val="single" w:sz="4" w:space="0" w:color="E2DCCC"/>
              <w:insideH w:val="none"/>
              <w:insideV w:val="none"/>
            </w:tcBorders>
          </w:tcPr>
          <w:p>
            <w:pPr>
              <w:spacing w:after="20"/>
            </w:pPr>
            <w:r>
              <w:rPr>
                <w:rFonts w:ascii="Georgia" w:hAnsi="Georgia"/>
                <w:b/>
                <w:color w:val="1B4D3E"/>
                <w:sz w:val="16"/>
              </w:rPr>
              <w:t>1. Programme Annuel d'Audit</w:t>
              <w:br/>
            </w:r>
            <w:r>
              <w:rPr>
                <w:rFonts w:ascii="Arial" w:hAnsi="Arial"/>
                <w:color w:val="1B4D3E"/>
                <w:sz w:val="15"/>
              </w:rPr>
              <w:t>Planning d'intervention couvrant l'ensemble des clauses ISO 9001 et des processus métiers.</w:t>
            </w:r>
          </w:p>
        </w:tc>
        <w:tc>
          <w:tcPr>
            <w:tcW w:type="dxa" w:w="5256"/>
            <w:tcW w:w="5100" w:type="dxa"/>
            <w:shd w:fill="FFFFFF"/>
            <w:tcMar>
              <w:top w:w="60" w:type="dxa"/>
              <w:bottom w:w="60" w:type="dxa"/>
              <w:left w:w="100" w:type="dxa"/>
              <w:right w:w="100" w:type="dxa"/>
            </w:tcMar>
            <w:tcBorders>
              <w:top w:val="single" w:sz="4" w:space="0" w:color="E2DCCC"/>
              <w:left w:val="single" w:sz="4" w:space="0" w:color="E2DCCC"/>
              <w:bottom w:val="single" w:sz="4" w:space="0" w:color="E2DCCC"/>
              <w:right w:val="single" w:sz="4" w:space="0" w:color="4A6C5C"/>
              <w:insideH w:val="none"/>
              <w:insideV w:val="none"/>
            </w:tcBorders>
          </w:tcPr>
          <w:p>
            <w:pPr>
              <w:spacing w:after="20"/>
            </w:pPr>
            <w:r>
              <w:rPr>
                <w:rFonts w:ascii="Georgia" w:hAnsi="Georgia"/>
                <w:b/>
                <w:color w:val="1B4D3E"/>
                <w:sz w:val="16"/>
              </w:rPr>
              <w:t>2. Équipe d'Auditeurs Indépendants</w:t>
              <w:br/>
            </w:r>
            <w:r>
              <w:rPr>
                <w:rFonts w:ascii="Arial" w:hAnsi="Arial"/>
                <w:color w:val="1B4D3E"/>
                <w:sz w:val="15"/>
              </w:rPr>
              <w:t>Auditeurs internes formés et indépendants du processus audité pour garantir l'impartialité.</w:t>
            </w:r>
          </w:p>
        </w:tc>
      </w:tr>
      <w:tr>
        <w:tc>
          <w:tcPr>
            <w:tcW w:type="dxa" w:w="5256"/>
            <w:tcW w:w="5100" w:type="dxa"/>
            <w:shd w:fill="FFFFFF"/>
            <w:tcMar>
              <w:top w:w="60" w:type="dxa"/>
              <w:bottom w:w="60" w:type="dxa"/>
              <w:left w:w="100" w:type="dxa"/>
              <w:right w:w="100" w:type="dxa"/>
            </w:tcMar>
            <w:tcBorders>
              <w:top w:val="single" w:sz="4" w:space="0" w:color="E2DCCC"/>
              <w:left w:val="single" w:sz="24" w:space="0" w:color="1B4D3E"/>
              <w:bottom w:val="single" w:sz="4" w:space="0" w:color="4A6C5C"/>
              <w:right w:val="single" w:sz="4" w:space="0" w:color="E2DCCC"/>
              <w:insideH w:val="none"/>
              <w:insideV w:val="none"/>
            </w:tcBorders>
          </w:tcPr>
          <w:p>
            <w:pPr>
              <w:spacing w:after="20"/>
            </w:pPr>
            <w:r>
              <w:rPr>
                <w:rFonts w:ascii="Georgia" w:hAnsi="Georgia"/>
                <w:b/>
                <w:color w:val="1B4D3E"/>
                <w:sz w:val="16"/>
              </w:rPr>
              <w:t>3. Trame de Rapport d'Audit</w:t>
              <w:br/>
            </w:r>
            <w:r>
              <w:rPr>
                <w:rFonts w:ascii="Arial" w:hAnsi="Arial"/>
                <w:color w:val="1B4D3E"/>
                <w:sz w:val="15"/>
              </w:rPr>
              <w:t>Constats factuels classés en Points Forts, Pistes de Progrès, Non-Conformités Mineures et Majeures.</w:t>
            </w:r>
          </w:p>
        </w:tc>
        <w:tc>
          <w:tcPr>
            <w:tcW w:type="dxa" w:w="5256"/>
            <w:tcW w:w="5100" w:type="dxa"/>
            <w:shd w:fill="FFFFFF"/>
            <w:tcMar>
              <w:top w:w="60" w:type="dxa"/>
              <w:bottom w:w="60" w:type="dxa"/>
              <w:left w:w="100" w:type="dxa"/>
              <w:right w:w="100" w:type="dxa"/>
            </w:tcMar>
            <w:tcBorders>
              <w:top w:val="single" w:sz="4" w:space="0" w:color="E2DCCC"/>
              <w:left w:val="single" w:sz="4" w:space="0" w:color="E2DCCC"/>
              <w:bottom w:val="single" w:sz="4" w:space="0" w:color="4A6C5C"/>
              <w:right w:val="single" w:sz="4" w:space="0" w:color="4A6C5C"/>
              <w:insideH w:val="none"/>
              <w:insideV w:val="none"/>
            </w:tcBorders>
          </w:tcPr>
          <w:p>
            <w:pPr>
              <w:spacing w:after="20"/>
            </w:pPr>
            <w:r>
              <w:rPr>
                <w:rFonts w:ascii="Georgia" w:hAnsi="Georgia"/>
                <w:b/>
                <w:color w:val="1B4D3E"/>
                <w:sz w:val="16"/>
              </w:rPr>
              <w:t>4. Plan d'Action d'Audit Interne</w:t>
              <w:br/>
            </w:r>
            <w:r>
              <w:rPr>
                <w:rFonts w:ascii="Arial" w:hAnsi="Arial"/>
                <w:color w:val="1B4D3E"/>
                <w:sz w:val="15"/>
              </w:rPr>
              <w:t>Actions correctives associées à chaque écart constaté avec suivi d'efficacité.</w:t>
            </w:r>
          </w:p>
        </w:tc>
      </w:tr>
    </w:tbl>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DFBF7"/>
            <w:tcMar>
              <w:top w:w="80" w:type="dxa"/>
              <w:bottom w:w="50" w:type="dxa"/>
              <w:left w:w="120" w:type="dxa"/>
              <w:right w:w="120" w:type="dxa"/>
            </w:tcMar>
            <w:tcBorders>
              <w:top w:val="single" w:sz="6" w:space="0" w:color="C5A065"/>
              <w:left w:val="single" w:sz="6" w:space="0" w:color="C5A065"/>
              <w:bottom w:val="single" w:sz="4" w:space="0" w:color="C5A065"/>
              <w:right w:val="single" w:sz="6" w:space="0" w:color="C5A065"/>
              <w:insideH w:val="none"/>
              <w:insideV w:val="none"/>
            </w:tcBorders>
          </w:tcPr>
          <w:p>
            <w:pPr>
              <w:spacing w:after="0"/>
            </w:pPr>
            <w:r>
              <w:rPr>
                <w:rFonts w:ascii="Georgia" w:hAnsi="Georgia"/>
                <w:b/>
                <w:color w:val="1B4D3E"/>
                <w:sz w:val="20"/>
              </w:rPr>
              <w:t>POURQUOI CET OUTIL EST-IL ABSOLUMENT CAPITAL POUR VOTRE ENTREPRISE ?</w:t>
            </w:r>
          </w:p>
        </w:tc>
      </w:tr>
      <w:tr>
        <w:tc>
          <w:tcPr>
            <w:tcW w:type="dxa" w:w="5256"/>
            <w:tcW w:w="5100" w:type="dxa"/>
            <w:shd w:fill="FDFBF7"/>
            <w:tcMar>
              <w:top w:w="60" w:type="dxa"/>
              <w:bottom w:w="80" w:type="dxa"/>
              <w:left w:w="120" w:type="dxa"/>
              <w:right w:w="120" w:type="dxa"/>
            </w:tcMar>
            <w:tcBorders>
              <w:top w:val="single" w:sz="4" w:space="0" w:color="C5A065"/>
              <w:left w:val="single" w:sz="6" w:space="0" w:color="C5A065"/>
              <w:bottom w:val="single" w:sz="6" w:space="0" w:color="C5A065"/>
              <w:right w:val="single" w:sz="4" w:space="0" w:color="E2DCCC"/>
              <w:insideH w:val="none"/>
              <w:insideV w:val="none"/>
            </w:tcBorders>
          </w:tcPr>
          <w:p>
            <w:pPr>
              <w:spacing w:after="40"/>
            </w:pPr>
            <w:r>
              <w:rPr>
                <w:rFonts w:ascii="Georgia" w:hAnsi="Georgia"/>
                <w:b/>
                <w:color w:val="1B5E20"/>
                <w:sz w:val="17"/>
              </w:rPr>
              <w:t>Ce que vous gagnez à l'utiliser :</w:t>
              <w:br/>
            </w:r>
          </w:p>
          <w:p>
            <w:pPr>
              <w:spacing w:after="20"/>
            </w:pPr>
            <w:r>
              <w:rPr>
                <w:rFonts w:ascii="Arial" w:hAnsi="Arial"/>
                <w:sz w:val="16"/>
              </w:rPr>
              <w:t>• Garantie de réussite à 100% de l'audit de certification ISO 9001.</w:t>
            </w:r>
          </w:p>
          <w:p>
            <w:pPr>
              <w:spacing w:after="20"/>
            </w:pPr>
            <w:r>
              <w:rPr>
                <w:rFonts w:ascii="Arial" w:hAnsi="Arial"/>
                <w:sz w:val="16"/>
              </w:rPr>
              <w:t>• Détection et correction des failles avant qu'elles n'impactent les clients.</w:t>
            </w:r>
          </w:p>
          <w:p>
            <w:pPr>
              <w:spacing w:after="20"/>
            </w:pPr>
            <w:r>
              <w:rPr>
                <w:rFonts w:ascii="Arial" w:hAnsi="Arial"/>
                <w:sz w:val="16"/>
              </w:rPr>
              <w:t>• Exigence légitime et obligatoire de l'ISO 9001 (Clause 9.2).</w:t>
            </w:r>
          </w:p>
        </w:tc>
        <w:tc>
          <w:tcPr>
            <w:tcW w:type="dxa" w:w="5256"/>
            <w:tcW w:w="5100" w:type="dxa"/>
            <w:shd w:fill="FDFBF7"/>
            <w:tcMar>
              <w:top w:w="60" w:type="dxa"/>
              <w:bottom w:w="80" w:type="dxa"/>
              <w:left w:w="120" w:type="dxa"/>
              <w:right w:w="120" w:type="dxa"/>
            </w:tcMar>
            <w:tcBorders>
              <w:top w:val="single" w:sz="4" w:space="0" w:color="C5A065"/>
              <w:left w:val="single" w:sz="4" w:space="0" w:color="E2DCCC"/>
              <w:bottom w:val="single" w:sz="6" w:space="0" w:color="C5A065"/>
              <w:right w:val="single" w:sz="6" w:space="0" w:color="C5A065"/>
              <w:insideH w:val="none"/>
              <w:insideV w:val="none"/>
            </w:tcBorders>
          </w:tcPr>
          <w:p>
            <w:pPr>
              <w:spacing w:after="40"/>
            </w:pPr>
            <w:r>
              <w:rPr>
                <w:rFonts w:ascii="Georgia" w:hAnsi="Georgia"/>
                <w:b/>
                <w:color w:val="B71C1C"/>
                <w:sz w:val="17"/>
              </w:rPr>
              <w:t>Ce que vous risquez sans cet outil :</w:t>
              <w:br/>
            </w:r>
          </w:p>
          <w:p>
            <w:pPr>
              <w:spacing w:after="20"/>
            </w:pPr>
            <w:r>
              <w:rPr>
                <w:rFonts w:ascii="Arial" w:hAnsi="Arial"/>
                <w:sz w:val="16"/>
              </w:rPr>
              <w:t>• Refus de certification ISO 9001 pour absence d'audits internes.</w:t>
            </w:r>
          </w:p>
          <w:p>
            <w:pPr>
              <w:spacing w:after="20"/>
            </w:pPr>
            <w:r>
              <w:rPr>
                <w:rFonts w:ascii="Arial" w:hAnsi="Arial"/>
                <w:sz w:val="16"/>
              </w:rPr>
              <w:t>• Surprise désagréable lors de l'audit officiel découvrant des défaillances majeures.</w:t>
            </w:r>
          </w:p>
          <w:p>
            <w:pPr>
              <w:spacing w:after="20"/>
            </w:pPr>
            <w:r>
              <w:rPr>
                <w:rFonts w:ascii="Arial" w:hAnsi="Arial"/>
                <w:sz w:val="16"/>
              </w:rPr>
              <w:t>• Non-conformité majeure d'audit ISO 9001 (Clause 9.2).</w:t>
            </w:r>
          </w:p>
        </w:tc>
      </w:tr>
    </w:tbl>
    <w:p>
      <w:pPr>
        <w:spacing w:after="80"/>
      </w:pPr>
    </w:p>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9F9F7"/>
            <w:tcMar>
              <w:top w:w="80" w:type="dxa"/>
              <w:bottom w:w="50" w:type="dxa"/>
              <w:left w:w="120" w:type="dxa"/>
              <w:right w:w="120" w:type="dxa"/>
            </w:tcMar>
            <w:tcBorders>
              <w:top w:val="single" w:sz="6" w:space="0" w:color="C5A065"/>
              <w:left w:val="single" w:sz="6" w:space="0" w:color="C5A065"/>
              <w:bottom w:val="single" w:sz="4" w:space="0" w:color="C5A065"/>
              <w:right w:val="single" w:sz="6" w:space="0" w:color="C5A065"/>
              <w:insideH w:val="none"/>
              <w:insideV w:val="none"/>
            </w:tcBorders>
          </w:tcPr>
          <w:p>
            <w:pPr>
              <w:spacing w:after="0"/>
            </w:pPr>
            <w:r>
              <w:rPr>
                <w:rFonts w:ascii="Georgia" w:hAnsi="Georgia"/>
                <w:b/>
                <w:color w:val="1B4D3E"/>
                <w:sz w:val="20"/>
              </w:rPr>
              <w:t>💶 ANCRAGE FINANCIER &amp; IMPACT ROI SUR LA MARGE DE L'ENTREPRISE</w:t>
            </w:r>
          </w:p>
        </w:tc>
      </w:tr>
      <w:tr>
        <w:tc>
          <w:tcPr>
            <w:tcW w:type="dxa" w:w="5256"/>
            <w:tcW w:w="5100" w:type="dxa"/>
            <w:shd w:fill="F9F9F7"/>
            <w:tcMar>
              <w:top w:w="60" w:type="dxa"/>
              <w:bottom w:w="80" w:type="dxa"/>
              <w:left w:w="120" w:type="dxa"/>
              <w:right w:w="120" w:type="dxa"/>
            </w:tcMar>
            <w:tcBorders>
              <w:top w:val="single" w:sz="4" w:space="0" w:color="C5A065"/>
              <w:left w:val="single" w:sz="6" w:space="0" w:color="C5A065"/>
              <w:bottom w:val="single" w:sz="6" w:space="0" w:color="C5A065"/>
              <w:right w:val="single" w:sz="4" w:space="0" w:color="E2DCCC"/>
              <w:insideH w:val="none"/>
              <w:insideV w:val="none"/>
            </w:tcBorders>
          </w:tcPr>
          <w:p>
            <w:pPr>
              <w:spacing w:after="40"/>
            </w:pPr>
            <w:r>
              <w:rPr>
                <w:rFonts w:ascii="Georgia" w:hAnsi="Georgia"/>
                <w:b/>
                <w:color w:val="1B5E20"/>
                <w:sz w:val="17"/>
              </w:rPr>
              <w:t>💰 GAIN STRATÉGIQUE OU PROTECTION DE MARGE BRUTE (€) :</w:t>
              <w:br/>
            </w:r>
            <w:r>
              <w:rPr>
                <w:rFonts w:ascii="Arial" w:hAnsi="Arial"/>
                <w:sz w:val="16"/>
              </w:rPr>
              <w:t>• Protection du certificat ISO 9001 conditionnant le Chiffre d'Affaires Grands Comptes.</w:t>
            </w:r>
          </w:p>
        </w:tc>
        <w:tc>
          <w:tcPr>
            <w:tcW w:type="dxa" w:w="5256"/>
            <w:tcW w:w="5100" w:type="dxa"/>
            <w:shd w:fill="F9F9F7"/>
            <w:tcMar>
              <w:top w:w="60" w:type="dxa"/>
              <w:bottom w:w="80" w:type="dxa"/>
              <w:left w:w="120" w:type="dxa"/>
              <w:right w:w="120" w:type="dxa"/>
            </w:tcMar>
            <w:tcBorders>
              <w:top w:val="single" w:sz="4" w:space="0" w:color="C5A065"/>
              <w:left w:val="single" w:sz="4" w:space="0" w:color="E2DCCC"/>
              <w:bottom w:val="single" w:sz="6" w:space="0" w:color="C5A065"/>
              <w:right w:val="single" w:sz="6" w:space="0" w:color="C5A065"/>
              <w:insideH w:val="none"/>
              <w:insideV w:val="none"/>
            </w:tcBorders>
          </w:tcPr>
          <w:p>
            <w:pPr>
              <w:spacing w:after="40"/>
            </w:pPr>
            <w:r>
              <w:rPr>
                <w:rFonts w:ascii="Georgia" w:hAnsi="Georgia"/>
                <w:b/>
                <w:color w:val="B71C1C"/>
                <w:sz w:val="17"/>
              </w:rPr>
              <w:t>⚠️ COÛT DE NON-QUALITÉ OU PERTE EN CAS D'INACTION (€) :</w:t>
              <w:br/>
            </w:r>
            <w:r>
              <w:rPr>
                <w:rFonts w:ascii="Arial" w:hAnsi="Arial"/>
                <w:sz w:val="16"/>
              </w:rPr>
              <w:t>• Évite le coût financier de sur-audit de rattrapage en cas d'échec.</w:t>
            </w:r>
          </w:p>
        </w:tc>
      </w:tr>
    </w:tbl>
    <w:p>
      <w:pPr>
        <w:spacing w:after="80"/>
      </w:pPr>
    </w:p>
    <w:tbl>
      <w:tblPr>
        <w:tblW w:type="auto" w:w="0"/>
        <w:jc w:val="center"/>
        <w:tblLayout w:type="fixed"/>
        <w:tblLook w:firstColumn="1" w:firstRow="1" w:lastColumn="0" w:lastRow="0" w:noHBand="0" w:noVBand="1" w:val="04A0"/>
      </w:tblPr>
      <w:tblGrid>
        <w:gridCol w:w="5256"/>
        <w:gridCol w:w="5256"/>
      </w:tblGrid>
      <w:tr>
        <w:tc>
          <w:tcPr>
            <w:tcW w:type="dxa" w:w="10512"/>
            <w:gridSpan w:val="2"/>
            <w:tcW w:w="10200" w:type="dxa"/>
            <w:shd w:fill="F9F9F7"/>
            <w:tcMar>
              <w:top w:w="80" w:type="dxa"/>
              <w:bottom w:w="50" w:type="dxa"/>
              <w:left w:w="120" w:type="dxa"/>
              <w:right w:w="120" w:type="dxa"/>
            </w:tcMar>
            <w:tcBorders>
              <w:top w:val="single" w:sz="6" w:space="0" w:color="C5A065"/>
              <w:left w:val="single" w:sz="6" w:space="0" w:color="C5A065"/>
              <w:bottom w:val="single" w:sz="4" w:space="0" w:color="C5A065"/>
              <w:right w:val="single" w:sz="6" w:space="0" w:color="C5A065"/>
              <w:insideH w:val="none"/>
              <w:insideV w:val="none"/>
            </w:tcBorders>
          </w:tcPr>
          <w:p>
            <w:pPr>
              <w:spacing w:after="0"/>
            </w:pPr>
            <w:r>
              <w:rPr>
                <w:rFonts w:ascii="Georgia" w:hAnsi="Georgia"/>
                <w:b/>
                <w:color w:val="1B4D3E"/>
                <w:sz w:val="20"/>
              </w:rPr>
              <w:t>MATRICE D'INTERCONNEXIONS &amp; FLUX DE DONNÉES ENTRANTES / SORTANTES</w:t>
            </w:r>
          </w:p>
        </w:tc>
      </w:tr>
      <w:tr>
        <w:tc>
          <w:tcPr>
            <w:tcW w:type="dxa" w:w="5256"/>
            <w:tcW w:w="5100" w:type="dxa"/>
            <w:shd w:fill="F9F9F7"/>
            <w:tcMar>
              <w:top w:w="60" w:type="dxa"/>
              <w:bottom w:w="80" w:type="dxa"/>
              <w:left w:w="120" w:type="dxa"/>
              <w:right w:w="120" w:type="dxa"/>
            </w:tcMar>
            <w:tcBorders>
              <w:top w:val="single" w:sz="4" w:space="0" w:color="C5A065"/>
              <w:left w:val="single" w:sz="6" w:space="0" w:color="C5A065"/>
              <w:bottom w:val="single" w:sz="6" w:space="0" w:color="C5A065"/>
              <w:right w:val="single" w:sz="4" w:space="0" w:color="E2DCCC"/>
              <w:insideH w:val="none"/>
              <w:insideV w:val="none"/>
            </w:tcBorders>
          </w:tcPr>
          <w:p>
            <w:pPr>
              <w:spacing w:after="40"/>
            </w:pPr>
            <w:r>
              <w:rPr>
                <w:rFonts w:ascii="Georgia" w:hAnsi="Georgia"/>
                <w:b/>
                <w:color w:val="1B4D3E"/>
                <w:sz w:val="17"/>
              </w:rPr>
              <w:t>📥 DONNÉES ENTRANTES (D'où viennent les informations ?) :</w:t>
              <w:br/>
            </w:r>
          </w:p>
          <w:p>
            <w:pPr>
              <w:spacing w:after="20"/>
            </w:pPr>
            <w:r>
              <w:rPr>
                <w:rFonts w:ascii="Arial" w:hAnsi="Arial"/>
                <w:sz w:val="16"/>
              </w:rPr>
              <w:t>• OUTIL 01A à 26 : L'ensemble du SMQ et des procédures de l'entreprise.</w:t>
            </w:r>
          </w:p>
        </w:tc>
        <w:tc>
          <w:tcPr>
            <w:tcW w:type="dxa" w:w="5256"/>
            <w:tcW w:w="5100" w:type="dxa"/>
            <w:shd w:fill="F9F9F7"/>
            <w:tcMar>
              <w:top w:w="60" w:type="dxa"/>
              <w:bottom w:w="80" w:type="dxa"/>
              <w:left w:w="120" w:type="dxa"/>
              <w:right w:w="120" w:type="dxa"/>
            </w:tcMar>
            <w:tcBorders>
              <w:top w:val="single" w:sz="4" w:space="0" w:color="C5A065"/>
              <w:left w:val="single" w:sz="4" w:space="0" w:color="E2DCCC"/>
              <w:bottom w:val="single" w:sz="6" w:space="0" w:color="C5A065"/>
              <w:right w:val="single" w:sz="6" w:space="0" w:color="C5A065"/>
              <w:insideH w:val="none"/>
              <w:insideV w:val="none"/>
            </w:tcBorders>
          </w:tcPr>
          <w:p>
            <w:pPr>
              <w:spacing w:after="40"/>
            </w:pPr>
            <w:r>
              <w:rPr>
                <w:rFonts w:ascii="Georgia" w:hAnsi="Georgia"/>
                <w:b/>
                <w:color w:val="1B4D3E"/>
                <w:sz w:val="17"/>
              </w:rPr>
              <w:t>📤 DONNÉES SORTANTES (Vers quoi cet outil alimente-t-il ?) :</w:t>
              <w:br/>
            </w:r>
          </w:p>
          <w:p>
            <w:pPr>
              <w:spacing w:after="20"/>
            </w:pPr>
            <w:r>
              <w:rPr>
                <w:rFonts w:ascii="Arial" w:hAnsi="Arial"/>
                <w:sz w:val="16"/>
              </w:rPr>
              <w:t>• OUTIL A5 (Cycle PDCA) : Suivi des plans d'actions correctives.</w:t>
            </w:r>
          </w:p>
          <w:p>
            <w:pPr>
              <w:spacing w:after="20"/>
            </w:pPr>
            <w:r>
              <w:rPr>
                <w:rFonts w:ascii="Arial" w:hAnsi="Arial"/>
                <w:sz w:val="16"/>
              </w:rPr>
              <w:t>• OUTIL A3 (Grille Pareto 80/20) : Priorisation des chantiers d'amélioration.</w:t>
            </w:r>
          </w:p>
        </w:tc>
      </w:tr>
    </w:tbl>
    <w:p>
      <w:pPr>
        <w:spacing w:after="80"/>
      </w:pPr>
    </w:p>
    <w:tbl>
      <w:tblPr>
        <w:tblW w:type="auto" w:w="0"/>
        <w:jc w:val="center"/>
        <w:tblLayout w:type="fixed"/>
        <w:tblLook w:firstColumn="1" w:firstRow="1" w:lastColumn="0" w:lastRow="0" w:noHBand="0" w:noVBand="1" w:val="04A0"/>
      </w:tblPr>
      <w:tblGrid>
        <w:gridCol w:w="10512"/>
      </w:tblGrid>
      <w:tr>
        <w:tc>
          <w:tcPr>
            <w:tcW w:type="dxa" w:w="10512"/>
            <w:tcW w:w="10200" w:type="dxa"/>
            <w:shd w:fill="FFFFFF"/>
            <w:tcMar>
              <w:top w:w="100" w:type="dxa"/>
              <w:bottom w:w="100" w:type="dxa"/>
              <w:left w:w="140" w:type="dxa"/>
              <w:right w:w="140" w:type="dxa"/>
            </w:tcMar>
            <w:tcBorders>
              <w:top w:val="single" w:sz="4" w:space="0" w:color="E2DCCC"/>
              <w:left w:val="single" w:sz="24" w:space="0" w:color="1B4D3E"/>
              <w:bottom w:val="single" w:sz="4" w:space="0" w:color="E2DCCC"/>
              <w:right w:val="single" w:sz="4" w:space="0" w:color="E2DCCC"/>
              <w:insideH w:val="none"/>
              <w:insideV w:val="none"/>
            </w:tcBorders>
          </w:tcPr>
          <w:p>
            <w:pPr>
              <w:spacing w:after="60"/>
            </w:pPr>
            <w:r>
              <w:rPr>
                <w:rFonts w:ascii="Georgia" w:hAnsi="Georgia"/>
                <w:b/>
                <w:color w:val="1B4D3E"/>
                <w:sz w:val="19"/>
              </w:rPr>
              <w:t>GUIDE DE REMPLISSAGE PAS À PAS (4 ÉTAPES)</w:t>
              <w:br/>
            </w:r>
          </w:p>
          <w:p>
            <w:pPr>
              <w:spacing w:after="40"/>
            </w:pPr>
            <w:r>
              <w:rPr>
                <w:rFonts w:ascii="Arial" w:hAnsi="Arial"/>
                <w:b/>
                <w:color w:val="1B4D3E"/>
                <w:sz w:val="16"/>
              </w:rPr>
              <w:t xml:space="preserve">Étape 1 : </w:t>
            </w:r>
            <w:r>
              <w:rPr>
                <w:rFonts w:ascii="Arial" w:hAnsi="Arial"/>
                <w:sz w:val="16"/>
              </w:rPr>
              <w:t>Établir le programme annuel d'audit interne.</w:t>
            </w:r>
          </w:p>
          <w:p>
            <w:pPr>
              <w:spacing w:after="40"/>
            </w:pPr>
            <w:r>
              <w:rPr>
                <w:rFonts w:ascii="Arial" w:hAnsi="Arial"/>
                <w:b/>
                <w:color w:val="1B4D3E"/>
                <w:sz w:val="16"/>
              </w:rPr>
              <w:t xml:space="preserve">Étape 2 : </w:t>
            </w:r>
            <w:r>
              <w:rPr>
                <w:rFonts w:ascii="Arial" w:hAnsi="Arial"/>
                <w:sz w:val="16"/>
              </w:rPr>
              <w:t>Rédiger le plan d'audit et la grille de questionnement.</w:t>
            </w:r>
          </w:p>
          <w:p>
            <w:pPr>
              <w:spacing w:after="40"/>
            </w:pPr>
            <w:r>
              <w:rPr>
                <w:rFonts w:ascii="Arial" w:hAnsi="Arial"/>
                <w:b/>
                <w:color w:val="1B4D3E"/>
                <w:sz w:val="16"/>
              </w:rPr>
              <w:t xml:space="preserve">Étape 3 : </w:t>
            </w:r>
            <w:r>
              <w:rPr>
                <w:rFonts w:ascii="Arial" w:hAnsi="Arial"/>
                <w:sz w:val="16"/>
              </w:rPr>
              <w:t>Mener les entretiens et rédiger le rapport d'audit.</w:t>
            </w:r>
          </w:p>
          <w:p>
            <w:pPr>
              <w:spacing w:after="40"/>
            </w:pPr>
            <w:r>
              <w:rPr>
                <w:rFonts w:ascii="Arial" w:hAnsi="Arial"/>
                <w:b/>
                <w:color w:val="1B4D3E"/>
                <w:sz w:val="16"/>
              </w:rPr>
              <w:t xml:space="preserve">Étape 4 : </w:t>
            </w:r>
            <w:r>
              <w:rPr>
                <w:rFonts w:ascii="Arial" w:hAnsi="Arial"/>
                <w:sz w:val="16"/>
              </w:rPr>
              <w:t>Présenter les conclusions en Revue de Direction.</w:t>
            </w:r>
          </w:p>
        </w:tc>
      </w:tr>
    </w:tbl>
    <w:p>
      <w:pPr>
        <w:spacing w:after="80"/>
      </w:pPr>
    </w:p>
    <w:p>
      <w:r>
        <w:br w:type="page"/>
      </w:r>
    </w:p>
    <w:tbl>
      <w:tblPr>
        <w:tblW w:type="auto" w:w="0"/>
        <w:jc w:val="center"/>
        <w:tblLayout w:type="fixed"/>
        <w:tblLook w:firstColumn="1" w:firstRow="1" w:lastColumn="0" w:lastRow="0" w:noHBand="0" w:noVBand="1" w:val="04A0"/>
      </w:tblPr>
      <w:tblGrid>
        <w:gridCol w:w="10512"/>
      </w:tblGrid>
      <w:tr>
        <w:tc>
          <w:tcPr>
            <w:tcW w:type="dxa" w:w="10512"/>
            <w:tcW w:w="10200" w:type="dxa"/>
            <w:shd w:fill="F7F9F8"/>
            <w:tcMar>
              <w:top w:w="80" w:type="dxa"/>
              <w:bottom w:w="80" w:type="dxa"/>
              <w:left w:w="120" w:type="dxa"/>
              <w:right w:w="120" w:type="dxa"/>
            </w:tcMar>
            <w:tcBorders>
              <w:top w:val="single" w:sz="4" w:space="0" w:color="E2DCCC"/>
              <w:left w:val="single" w:sz="20" w:space="0" w:color="1B4D3E"/>
              <w:bottom w:val="single" w:sz="4" w:space="0" w:color="E2DCCC"/>
              <w:right w:val="single" w:sz="4" w:space="0" w:color="E2DCCC"/>
              <w:insideH w:val="none"/>
              <w:insideV w:val="none"/>
            </w:tcBorders>
          </w:tcPr>
          <w:p>
            <w:pPr>
              <w:spacing w:after="0"/>
            </w:pPr>
            <w:r>
              <w:rPr>
                <w:rFonts w:ascii="Georgia" w:hAnsi="Georgia"/>
                <w:b/>
                <w:color w:val="1B4D3E"/>
                <w:sz w:val="20"/>
              </w:rPr>
              <w:t>PROGRAMME ANNUEL ET REGISTRE DES AUDITS INTERNES DU SMQ</w:t>
            </w:r>
          </w:p>
        </w:tc>
      </w:tr>
    </w:tbl>
    <w:p>
      <w:pPr>
        <w:spacing w:after="80"/>
      </w:pPr>
    </w:p>
    <w:tbl>
      <w:tblPr>
        <w:tblW w:type="auto" w:w="0"/>
        <w:jc w:val="center"/>
        <w:tblLayout w:type="fixed"/>
        <w:tblLook w:firstColumn="1" w:firstRow="1" w:lastColumn="0" w:lastRow="0" w:noHBand="0" w:noVBand="1" w:val="04A0"/>
      </w:tblPr>
      <w:tblGrid>
        <w:gridCol w:w="1314"/>
        <w:gridCol w:w="1314"/>
        <w:gridCol w:w="1314"/>
        <w:gridCol w:w="1314"/>
        <w:gridCol w:w="1314"/>
        <w:gridCol w:w="1314"/>
        <w:gridCol w:w="1314"/>
        <w:gridCol w:w="1314"/>
      </w:tblGrid>
      <w:tr>
        <w:tc>
          <w:tcPr>
            <w:tcW w:type="dxa" w:w="1314"/>
            <w:tcW w:w="1100" w:type="dxa"/>
            <w:shd w:fill="1B4D3E"/>
            <w:tcMar>
              <w:top w:w="60" w:type="dxa"/>
              <w:bottom w:w="60" w:type="dxa"/>
              <w:left w:w="60" w:type="dxa"/>
              <w:right w:w="6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6"/>
              </w:rPr>
              <w:t>N° Audit</w:t>
            </w:r>
          </w:p>
        </w:tc>
        <w:tc>
          <w:tcPr>
            <w:tcW w:type="dxa" w:w="1314"/>
            <w:tcW w:w="2000" w:type="dxa"/>
            <w:shd w:fill="1B4D3E"/>
            <w:tcMar>
              <w:top w:w="60" w:type="dxa"/>
              <w:bottom w:w="60" w:type="dxa"/>
              <w:left w:w="60" w:type="dxa"/>
              <w:right w:w="6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6"/>
              </w:rPr>
              <w:t>Processus / Clause Audité</w:t>
            </w:r>
          </w:p>
        </w:tc>
        <w:tc>
          <w:tcPr>
            <w:tcW w:type="dxa" w:w="1314"/>
            <w:tcW w:w="1100" w:type="dxa"/>
            <w:shd w:fill="1B4D3E"/>
            <w:tcMar>
              <w:top w:w="60" w:type="dxa"/>
              <w:bottom w:w="60" w:type="dxa"/>
              <w:left w:w="60" w:type="dxa"/>
              <w:right w:w="6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6"/>
              </w:rPr>
              <w:t>Période Planifiée</w:t>
            </w:r>
          </w:p>
        </w:tc>
        <w:tc>
          <w:tcPr>
            <w:tcW w:type="dxa" w:w="1314"/>
            <w:tcW w:w="1400" w:type="dxa"/>
            <w:shd w:fill="1B4D3E"/>
            <w:tcMar>
              <w:top w:w="60" w:type="dxa"/>
              <w:bottom w:w="60" w:type="dxa"/>
              <w:left w:w="60" w:type="dxa"/>
              <w:right w:w="6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6"/>
              </w:rPr>
              <w:t>Auditeur Désigné</w:t>
            </w:r>
          </w:p>
        </w:tc>
        <w:tc>
          <w:tcPr>
            <w:tcW w:type="dxa" w:w="1314"/>
            <w:tcW w:w="1800" w:type="dxa"/>
            <w:shd w:fill="1B4D3E"/>
            <w:tcMar>
              <w:top w:w="60" w:type="dxa"/>
              <w:bottom w:w="60" w:type="dxa"/>
              <w:left w:w="60" w:type="dxa"/>
              <w:right w:w="6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6"/>
              </w:rPr>
              <w:t>Points Forts Décelés</w:t>
            </w:r>
          </w:p>
        </w:tc>
        <w:tc>
          <w:tcPr>
            <w:tcW w:type="dxa" w:w="1314"/>
            <w:tcW w:w="1800" w:type="dxa"/>
            <w:shd w:fill="1B4D3E"/>
            <w:tcMar>
              <w:top w:w="60" w:type="dxa"/>
              <w:bottom w:w="60" w:type="dxa"/>
              <w:left w:w="60" w:type="dxa"/>
              <w:right w:w="6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6"/>
              </w:rPr>
              <w:t>Écarts / Non-Conformités</w:t>
            </w:r>
          </w:p>
        </w:tc>
        <w:tc>
          <w:tcPr>
            <w:tcW w:type="dxa" w:w="1314"/>
            <w:tcW w:w="1000" w:type="dxa"/>
            <w:shd w:fill="1B4D3E"/>
            <w:tcMar>
              <w:top w:w="60" w:type="dxa"/>
              <w:bottom w:w="60" w:type="dxa"/>
              <w:left w:w="60" w:type="dxa"/>
              <w:right w:w="6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6"/>
              </w:rPr>
              <w:t>Plan d'Action Correctif</w:t>
            </w:r>
          </w:p>
        </w:tc>
        <w:tc>
          <w:tcPr>
            <w:tcW w:type="dxa" w:w="1314"/>
            <w:tcW w:w="1000" w:type="dxa"/>
            <w:shd w:fill="1B4D3E"/>
            <w:tcMar>
              <w:top w:w="60" w:type="dxa"/>
              <w:bottom w:w="60" w:type="dxa"/>
              <w:left w:w="60" w:type="dxa"/>
              <w:right w:w="60" w:type="dxa"/>
            </w:tcMar>
            <w:tcBorders>
              <w:top w:val="single" w:sz="4" w:space="0" w:color="1B4D3E"/>
              <w:left w:val="single" w:sz="4" w:space="0" w:color="1B4D3E"/>
              <w:bottom w:val="single" w:sz="4" w:space="0" w:color="1B4D3E"/>
              <w:right w:val="single" w:sz="4" w:space="0" w:color="1B4D3E"/>
              <w:insideH w:val="none"/>
              <w:insideV w:val="none"/>
            </w:tcBorders>
          </w:tcPr>
          <w:p>
            <w:pPr>
              <w:jc w:val="left"/>
            </w:pPr>
            <w:r>
              <w:rPr>
                <w:rFonts w:ascii="Arial" w:hAnsi="Arial"/>
                <w:b/>
                <w:color w:val="FFFFFF"/>
                <w:sz w:val="16"/>
              </w:rPr>
              <w:t>Statut Audit</w:t>
            </w:r>
          </w:p>
        </w:tc>
      </w:tr>
      <w:tr>
        <w:tc>
          <w:tcPr>
            <w:tcW w:type="dxa" w:w="1314"/>
            <w:tcW w:w="11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AUD-2026-01</w:t>
            </w:r>
          </w:p>
        </w:tc>
        <w:tc>
          <w:tcPr>
            <w:tcW w:type="dxa" w:w="1314"/>
            <w:tcW w:w="20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Processus Direction &amp; Management (4.1 à 6.2)</w:t>
            </w:r>
          </w:p>
        </w:tc>
        <w:tc>
          <w:tcPr>
            <w:tcW w:type="dxa" w:w="1314"/>
            <w:tcW w:w="11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Mars 2026</w:t>
            </w:r>
          </w:p>
        </w:tc>
        <w:tc>
          <w:tcPr>
            <w:tcW w:type="dxa" w:w="1314"/>
            <w:tcW w:w="14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Auditeur Externe / QSE</w:t>
            </w:r>
          </w:p>
        </w:tc>
        <w:tc>
          <w:tcPr>
            <w:tcW w:type="dxa" w:w="1314"/>
            <w:tcW w:w="18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Engagements clairs, Objectifs SMART chiffrés</w:t>
            </w:r>
          </w:p>
        </w:tc>
        <w:tc>
          <w:tcPr>
            <w:tcW w:type="dxa" w:w="1314"/>
            <w:tcW w:w="18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0 NC Majeure / 1 Piste de progrès</w:t>
            </w:r>
          </w:p>
        </w:tc>
        <w:tc>
          <w:tcPr>
            <w:tcW w:type="dxa" w:w="1314"/>
            <w:tcW w:w="10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Optimiser le rituel Réunion Flash</w:t>
            </w:r>
          </w:p>
        </w:tc>
        <w:tc>
          <w:tcPr>
            <w:tcW w:type="dxa" w:w="1314"/>
            <w:tcW w:w="10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Planifié</w:t>
            </w:r>
          </w:p>
        </w:tc>
      </w:tr>
      <w:tr>
        <w:tc>
          <w:tcPr>
            <w:tcW w:type="dxa" w:w="1314"/>
            <w:tcW w:w="11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AUD-2026-02</w:t>
            </w:r>
          </w:p>
        </w:tc>
        <w:tc>
          <w:tcPr>
            <w:tcW w:type="dxa" w:w="1314"/>
            <w:tcW w:w="20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Processus Ventes &amp; Achats (8.2 &amp; 8.4)</w:t>
            </w:r>
          </w:p>
        </w:tc>
        <w:tc>
          <w:tcPr>
            <w:tcW w:type="dxa" w:w="1314"/>
            <w:tcW w:w="11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Mai 2026</w:t>
            </w:r>
          </w:p>
        </w:tc>
        <w:tc>
          <w:tcPr>
            <w:tcW w:type="dxa" w:w="1314"/>
            <w:tcW w:w="14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Auditeur Interne Formé</w:t>
            </w:r>
          </w:p>
        </w:tc>
        <w:tc>
          <w:tcPr>
            <w:tcW w:type="dxa" w:w="1314"/>
            <w:tcW w:w="18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Revue devis Outil 08 rigoureuse</w:t>
            </w:r>
          </w:p>
        </w:tc>
        <w:tc>
          <w:tcPr>
            <w:tcW w:type="dxa" w:w="1314"/>
            <w:tcW w:w="18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1 NC Mineure (Fournisseur non noté)</w:t>
            </w:r>
          </w:p>
        </w:tc>
        <w:tc>
          <w:tcPr>
            <w:tcW w:type="dxa" w:w="1314"/>
            <w:tcW w:w="10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Renseigner l'Outil 09 sous 15j</w:t>
            </w:r>
          </w:p>
        </w:tc>
        <w:tc>
          <w:tcPr>
            <w:tcW w:type="dxa" w:w="1314"/>
            <w:tcW w:w="10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Planifié</w:t>
            </w:r>
          </w:p>
        </w:tc>
      </w:tr>
      <w:tr>
        <w:tc>
          <w:tcPr>
            <w:tcW w:type="dxa" w:w="1314"/>
            <w:tcW w:w="11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AUD-2026-03</w:t>
            </w:r>
          </w:p>
        </w:tc>
        <w:tc>
          <w:tcPr>
            <w:tcW w:type="dxa" w:w="1314"/>
            <w:tcW w:w="20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Processus Production &amp; Qualité (8.5 &amp; 8.7)</w:t>
            </w:r>
          </w:p>
        </w:tc>
        <w:tc>
          <w:tcPr>
            <w:tcW w:type="dxa" w:w="1314"/>
            <w:tcW w:w="11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Septembre 2026</w:t>
            </w:r>
          </w:p>
        </w:tc>
        <w:tc>
          <w:tcPr>
            <w:tcW w:type="dxa" w:w="1314"/>
            <w:tcW w:w="14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Auditeur Externe / QSE</w:t>
            </w:r>
          </w:p>
        </w:tc>
        <w:tc>
          <w:tcPr>
            <w:tcW w:type="dxa" w:w="1314"/>
            <w:tcW w:w="18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Traçabilité 3.1 parfaite sur dossiers lots</w:t>
            </w:r>
          </w:p>
        </w:tc>
        <w:tc>
          <w:tcPr>
            <w:tcW w:type="dxa" w:w="1314"/>
            <w:tcW w:w="18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1 NC Mineure (Zone rouge encombrée)</w:t>
            </w:r>
          </w:p>
        </w:tc>
        <w:tc>
          <w:tcPr>
            <w:tcW w:type="dxa" w:w="1314"/>
            <w:tcW w:w="10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Vider zone quarantaine hebdo</w:t>
            </w:r>
          </w:p>
        </w:tc>
        <w:tc>
          <w:tcPr>
            <w:tcW w:type="dxa" w:w="1314"/>
            <w:tcW w:w="1000" w:type="dxa"/>
            <w:shd w:fill="FFFFFF"/>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Planifié</w:t>
            </w:r>
          </w:p>
        </w:tc>
      </w:tr>
      <w:tr>
        <w:tc>
          <w:tcPr>
            <w:tcW w:type="dxa" w:w="1314"/>
            <w:tcW w:w="11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[N° Audit]</w:t>
            </w:r>
          </w:p>
        </w:tc>
        <w:tc>
          <w:tcPr>
            <w:tcW w:type="dxa" w:w="1314"/>
            <w:tcW w:w="20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[Processus / Clause]</w:t>
            </w:r>
          </w:p>
        </w:tc>
        <w:tc>
          <w:tcPr>
            <w:tcW w:type="dxa" w:w="1314"/>
            <w:tcW w:w="11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[Période]</w:t>
            </w:r>
          </w:p>
        </w:tc>
        <w:tc>
          <w:tcPr>
            <w:tcW w:type="dxa" w:w="1314"/>
            <w:tcW w:w="14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[Auditeur]</w:t>
            </w:r>
          </w:p>
        </w:tc>
        <w:tc>
          <w:tcPr>
            <w:tcW w:type="dxa" w:w="1314"/>
            <w:tcW w:w="18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[Points Forts]</w:t>
            </w:r>
          </w:p>
        </w:tc>
        <w:tc>
          <w:tcPr>
            <w:tcW w:type="dxa" w:w="1314"/>
            <w:tcW w:w="18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[Écarts / NC]</w:t>
            </w:r>
          </w:p>
        </w:tc>
        <w:tc>
          <w:tcPr>
            <w:tcW w:type="dxa" w:w="1314"/>
            <w:tcW w:w="10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[Plan d'action]</w:t>
            </w:r>
          </w:p>
        </w:tc>
        <w:tc>
          <w:tcPr>
            <w:tcW w:type="dxa" w:w="1314"/>
            <w:tcW w:w="1000" w:type="dxa"/>
            <w:shd w:fill="F9F9F7"/>
            <w:tcMar>
              <w:top w:w="50" w:type="dxa"/>
              <w:bottom w:w="50" w:type="dxa"/>
              <w:left w:w="60" w:type="dxa"/>
              <w:right w:w="60" w:type="dxa"/>
            </w:tcMar>
            <w:tcBorders>
              <w:top w:val="single" w:sz="4" w:space="0" w:color="E2DCCC"/>
              <w:left w:val="single" w:sz="4" w:space="0" w:color="E2DCCC"/>
              <w:bottom w:val="single" w:sz="4" w:space="0" w:color="E2DCCC"/>
              <w:right w:val="single" w:sz="4" w:space="0" w:color="E2DCCC"/>
              <w:insideH w:val="none"/>
              <w:insideV w:val="none"/>
            </w:tcBorders>
          </w:tcPr>
          <w:p>
            <w:r>
              <w:rPr>
                <w:rFonts w:ascii="Arial" w:hAnsi="Arial"/>
                <w:sz w:val="15"/>
              </w:rPr>
              <w:t>[Statut]</w:t>
            </w:r>
          </w:p>
        </w:tc>
      </w:tr>
    </w:tbl>
    <w:p>
      <w:pPr>
        <w:spacing w:after="80"/>
      </w:pPr>
    </w:p>
    <w:tbl>
      <w:tblPr>
        <w:tblW w:type="auto" w:w="0"/>
        <w:jc w:val="center"/>
        <w:tblLayout w:type="fixed"/>
        <w:tblLook w:firstColumn="1" w:firstRow="1" w:lastColumn="0" w:lastRow="0" w:noHBand="0" w:noVBand="1" w:val="04A0"/>
      </w:tblPr>
      <w:tblGrid>
        <w:gridCol w:w="10512"/>
      </w:tblGrid>
      <w:tr>
        <w:tc>
          <w:tcPr>
            <w:tcW w:type="dxa" w:w="10512"/>
            <w:tcW w:w="10200" w:type="dxa"/>
            <w:shd w:fill="F9F9F7"/>
            <w:tcMar>
              <w:top w:w="100" w:type="dxa"/>
              <w:bottom w:w="100" w:type="dxa"/>
              <w:left w:w="140" w:type="dxa"/>
              <w:right w:w="140" w:type="dxa"/>
            </w:tcMar>
            <w:tcBorders>
              <w:top w:val="single" w:sz="6" w:space="0" w:color="C5A065"/>
              <w:left w:val="single" w:sz="24" w:space="0" w:color="1B4D3E"/>
              <w:bottom w:val="single" w:sz="6" w:space="0" w:color="C5A065"/>
              <w:right w:val="single" w:sz="6" w:space="0" w:color="C5A065"/>
              <w:insideH w:val="none"/>
              <w:insideV w:val="none"/>
            </w:tcBorders>
          </w:tcPr>
          <w:p>
            <w:pPr>
              <w:spacing w:after="60"/>
            </w:pPr>
            <w:r>
              <w:rPr>
                <w:rFonts w:ascii="Georgia" w:hAnsi="Georgia"/>
                <w:b/>
                <w:color w:val="1B4D3E"/>
                <w:sz w:val="19"/>
              </w:rPr>
              <w:t>QUE FAIRE UNE FOIS CET OUTIL COMPLÉTÉ ?</w:t>
              <w:br/>
            </w:r>
          </w:p>
          <w:p>
            <w:pPr>
              <w:spacing w:after="30"/>
            </w:pPr>
            <w:r>
              <w:rPr>
                <w:rFonts w:ascii="Arial" w:hAnsi="Arial"/>
                <w:color w:val="1B4D3E"/>
                <w:sz w:val="16"/>
              </w:rPr>
              <w:t>• Présenter le rapport d'audit en Revue de Direction.</w:t>
            </w:r>
          </w:p>
          <w:p>
            <w:pPr>
              <w:spacing w:after="30"/>
            </w:pPr>
            <w:r>
              <w:rPr>
                <w:rFonts w:ascii="Arial" w:hAnsi="Arial"/>
                <w:color w:val="1B4D3E"/>
                <w:sz w:val="16"/>
              </w:rPr>
              <w:t>• Archiver sous 04_RH_SAVOIR_GED_IT/RAPPORT_AUDIT_INTERNE_2026.pdf.</w:t>
            </w:r>
          </w:p>
        </w:tc>
      </w:tr>
    </w:tbl>
    <w:p>
      <w:pPr>
        <w:spacing w:after="80"/>
      </w:pPr>
    </w:p>
    <w:sectPr w:rsidR="00FC693F" w:rsidRPr="0006063C" w:rsidSect="00034616">
      <w:headerReference w:type="default" r:id="rId9"/>
      <w:footerReference w:type="default" r:id="rId10"/>
      <w:pgSz w:w="12240" w:h="15840"/>
      <w:pgMar w:top="1368" w:right="864" w:bottom="936" w:left="86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tabs>
        <w:tab w:val="right" w:pos="10512"/>
      </w:tabs>
    </w:pPr>
    <w:r/>
    <w:r>
      <w:rPr>
        <w:rFonts w:ascii="Arial" w:hAnsi="Arial"/>
        <w:i/>
        <w:color w:val="787878"/>
        <w:sz w:val="15"/>
      </w:rPr>
      <w:t>Cabinet Delacour • delacour.melchior@cabinetdelacour.com</w:t>
    </w:r>
    <w:r>
      <w:tab/>
      <w:tab/>
    </w:r>
    <w:r>
      <w:rPr>
        <w:rFonts w:ascii="Arial" w:hAnsi="Arial"/>
        <w:i/>
        <w:color w:val="787878"/>
        <w:sz w:val="15"/>
      </w:rPr>
      <w:t xml:space="preserve">Page </w:t>
    </w:r>
    <w:fldSimple w:instr="PAGE"/>
    <w:r>
      <w:rPr>
        <w:rFonts w:ascii="Arial" w:hAnsi="Arial"/>
        <w:i/>
        <w:color w:val="787878"/>
        <w:sz w:val="15"/>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6675120" cy="487680"/>
          <wp:docPr id="1" name="Picture 1"/>
          <wp:cNvGraphicFramePr>
            <a:graphicFrameLocks noChangeAspect="1"/>
          </wp:cNvGraphicFramePr>
          <a:graphic>
            <a:graphicData uri="http://schemas.openxmlformats.org/drawingml/2006/picture">
              <pic:pic>
                <pic:nvPicPr>
                  <pic:cNvPr id="0" name="header_brand_unified_hd.png"/>
                  <pic:cNvPicPr/>
                </pic:nvPicPr>
                <pic:blipFill>
                  <a:blip r:embed="rId1"/>
                  <a:stretch>
                    <a:fillRect/>
                  </a:stretch>
                </pic:blipFill>
                <pic:spPr>
                  <a:xfrm>
                    <a:off x="0" y="0"/>
                    <a:ext cx="6675120" cy="4876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