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6720840" cy="4910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der_brand_unified_h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4910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13"/>
      </w:tblGrid>
      <w:tr>
        <w:tc>
          <w:tcPr>
            <w:tcW w:type="dxa" w:w="16"/>
            <w:tcW w:w="10200" w:type="dxa"/>
            <w:shd w:fill="F9F9F7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4" w:space="0" w:color="E2DCCC"/>
              <w:left w:val="single" w:sz="24" w:space="0" w:color="C5A065"/>
              <w:bottom w:val="single" w:sz="4" w:space="0" w:color="E2DCCC"/>
              <w:right w:val="single" w:sz="4" w:space="0" w:color="E2DCC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C5A065"/>
                <w:sz w:val="16"/>
              </w:rPr>
              <w:t>PROGRAMME CASH &amp; RENTABILITE DELACOUR - OUTIL 01 - GUIDE METHODOLOGIQUE</w:t>
              <w:br/>
            </w:r>
            <w:r>
              <w:rPr>
                <w:rFonts w:ascii="Georgia" w:hAnsi="Georgia"/>
                <w:b/>
                <w:color w:val="1B4D3E"/>
                <w:sz w:val="26"/>
              </w:rPr>
              <w:t>CADRAGE DES DEVIS &amp; SECURISATION DE LA MARGE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06"/>
        <w:gridCol w:w="5306"/>
      </w:tblGrid>
      <w:tr>
        <w:tc>
          <w:tcPr>
            <w:tcW w:type="dxa" w:w="16"/>
            <w:gridSpan w:val="2"/>
            <w:tcW w:w="10200" w:type="dxa"/>
            <w:shd w:fill="FDFBF7"/>
            <w:tcMar>
              <w:top w:w="70" w:type="dxa"/>
              <w:bottom w:w="50" w:type="dxa"/>
              <w:left w:w="120" w:type="dxa"/>
              <w:right w:w="120" w:type="dxa"/>
            </w:tcMar>
            <w:tcBorders>
              <w:top w:val="single" w:sz="6" w:space="0" w:color="C5A065"/>
              <w:left w:val="single" w:sz="6" w:space="0" w:color="C5A065"/>
              <w:bottom w:val="single" w:sz="4" w:space="0" w:color="C5A065"/>
              <w:right w:val="single" w:sz="6" w:space="0" w:color="C5A065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19"/>
              </w:rPr>
              <w:t>POURQUOI CET OUTIL TRANSFORME LA RENTABILITE DE L'ENTREPRISE</w:t>
            </w:r>
          </w:p>
        </w:tc>
      </w:tr>
      <w:tr>
        <w:tc>
          <w:tcPr>
            <w:tcW w:type="dxa" w:w="8"/>
            <w:tcW w:w="5100" w:type="dxa"/>
            <w:shd w:fill="FDFBF7"/>
            <w:tcMar>
              <w:top w:w="50" w:type="dxa"/>
              <w:bottom w:w="7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6" w:space="0" w:color="C5A065"/>
              <w:bottom w:val="single" w:sz="6" w:space="0" w:color="C5A065"/>
              <w:right w:val="single" w:sz="4" w:space="0" w:color="E2DCCC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5E20"/>
                <w:sz w:val="17"/>
              </w:rPr>
              <w:t>Ce que l'entreprise GAGNE (Cash direct)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Garantie d'une marge brute reelle superieure ou egale au seuil cible sur chaque affaire.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Facturation systematique des travaux supplementaires et fin des 'cadeaux' non chifPoint.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Responsabilisation des commerciaux et chiffreurs sur la marge et non le volume de CA.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Previsionnel de tresorerie fiabilise des la signature du devis grace a l'acompte de 30%.</w:t>
            </w:r>
          </w:p>
        </w:tc>
        <w:tc>
          <w:tcPr>
            <w:tcW w:type="dxa" w:w="8"/>
            <w:tcW w:w="5100" w:type="dxa"/>
            <w:shd w:fill="FDFBF7"/>
            <w:tcMar>
              <w:top w:w="50" w:type="dxa"/>
              <w:bottom w:w="7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4" w:space="0" w:color="E2DCCC"/>
              <w:bottom w:val="single" w:sz="6" w:space="0" w:color="C5A065"/>
              <w:right w:val="single" w:sz="6" w:space="0" w:color="C5A065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B71C1C"/>
                <w:sz w:val="17"/>
              </w:rPr>
              <w:t>Ce que l'entreprise PERD sans cet outil (Gaspillages)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Perte invisible de 5% a 12% de marge brute sur chantier en raison des modifications orales.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Temps passe par le bureau d'etudes et l'atelier non refacture au client final.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Conflits en fin de chantier lorsque le client conteste les extras non formalises.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Tresorerie asfixiee par des affaires a marge nulle qui consomment les capacites de production.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13"/>
      </w:tblGrid>
      <w:tr>
        <w:tc>
          <w:tcPr>
            <w:tcW w:type="dxa" w:w="16"/>
            <w:tcW w:w="10200" w:type="dxa"/>
            <w:shd w:fill="F9F9F7"/>
            <w:tcMar>
              <w:top w:w="70" w:type="dxa"/>
              <w:bottom w:w="50" w:type="dxa"/>
              <w:left w:w="120" w:type="dxa"/>
              <w:right w:w="120" w:type="dxa"/>
            </w:tcMar>
            <w:tcBorders>
              <w:top w:val="single" w:sz="6" w:space="0" w:color="C5A065"/>
              <w:left w:val="single" w:sz="6" w:space="0" w:color="C5A065"/>
              <w:bottom w:val="single" w:sz="4" w:space="0" w:color="C5A065"/>
              <w:right w:val="single" w:sz="6" w:space="0" w:color="C5A065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4D3E"/>
                <w:sz w:val="19"/>
              </w:rPr>
              <w:t>CONSEIL CONSULTANT &amp; POSTURE TERRAIN (RECUPERATION DU CASH)</w:t>
            </w:r>
            <w:r>
              <w:rPr>
                <w:rFonts w:ascii="Arial" w:hAnsi="Arial"/>
                <w:i/>
                <w:sz w:val="16"/>
              </w:rPr>
              <w:br/>
              <w:t>Le consultant doit imposer une regle non negociable : 'Tout ce qui n'est pas ecrit est gratuit pour le client mais ruineux pour l'entreprise'.</w:t>
            </w:r>
          </w:p>
        </w:tc>
      </w:tr>
      <w:tr>
        <w:tc>
          <w:tcPr>
            <w:tcW w:type="dxa" w:w="16"/>
            <w:tcW w:w="10200" w:type="dxa"/>
            <w:shd w:fill="F9F9F7"/>
            <w:tcMar>
              <w:top w:w="50" w:type="dxa"/>
              <w:bottom w:w="70" w:type="dxa"/>
              <w:left w:w="120" w:type="dxa"/>
              <w:right w:w="120" w:type="dxa"/>
            </w:tcMar>
            <w:tcBorders>
              <w:top w:val="single" w:sz="2" w:space="0" w:color="E2DCCC"/>
              <w:left w:val="single" w:sz="6" w:space="0" w:color="C5A065"/>
              <w:bottom w:val="single" w:sz="6" w:space="0" w:color="C5A065"/>
              <w:right w:val="single" w:sz="6" w:space="0" w:color="C5A065"/>
            </w:tcBorders>
          </w:tcPr>
          <w:p>
            <w:pPr>
              <w:spacing w:after="20"/>
            </w:pP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- Chasser les devis 'a la louche' : </w:t>
            </w:r>
            <w:r>
              <w:rPr>
                <w:rFonts w:ascii="Arial" w:hAnsi="Arial"/>
                <w:sz w:val="16"/>
              </w:rPr>
              <w:t>Chaque devis doit reposer sur un chiffrage temps atelier valide par le chef d'equipe.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- Fixer une marge plancher infranchissable : </w:t>
            </w:r>
            <w:r>
              <w:rPr>
                <w:rFonts w:ascii="Arial" w:hAnsi="Arial"/>
                <w:sz w:val="16"/>
              </w:rPr>
              <w:t>Interdire aux commerciaux d'accorder des remises sans validation formelle de la Direction.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- Le reflexe Avenant : </w:t>
            </w:r>
            <w:r>
              <w:rPr>
                <w:rFonts w:ascii="Arial" w:hAnsi="Arial"/>
                <w:sz w:val="16"/>
              </w:rPr>
              <w:t>Des qu'un client demande une modification sur site, emettre un avenant d'1 page signe avant realisation.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- Associer la remuneration a la marge : </w:t>
            </w:r>
            <w:r>
              <w:rPr>
                <w:rFonts w:ascii="Arial" w:hAnsi="Arial"/>
                <w:sz w:val="16"/>
              </w:rPr>
              <w:t>Sensibiliser les commerciaux sur le fait que 1 EUR de marge brute vaut plus que 10 EUR de CA sans marge.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13"/>
      </w:tblGrid>
      <w:tr>
        <w:tc>
          <w:tcPr>
            <w:tcW w:type="dxa" w:w="16"/>
            <w:tcW w:w="10200" w:type="dxa"/>
            <w:shd w:fill="F5F7F6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E2DCCC"/>
              <w:right w:val="single" w:sz="4" w:space="0" w:color="E2DCCC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4D3E"/>
                <w:sz w:val="18"/>
              </w:rPr>
              <w:t>PROTOCOLE DE DEPLOIEMENT PAS-A-PAS (REGLE DES 2 MINUTES &amp; CHRONO)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Etape 1 : </w:t>
            </w:r>
            <w:r>
              <w:rPr>
                <w:rFonts w:ascii="Arial" w:hAnsi="Arial"/>
                <w:sz w:val="16"/>
              </w:rPr>
              <w:t>Calibrer le taux horaire atelier et BE avec le comptable (inclure charges fixes, amortissements et encadrement).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Etape 2 : </w:t>
            </w:r>
            <w:r>
              <w:rPr>
                <w:rFonts w:ascii="Arial" w:hAnsi="Arial"/>
                <w:sz w:val="16"/>
              </w:rPr>
              <w:t>Mettre en place la Checklist des 7 verrous sur tout devis superieur a 1 500 EUR HT avant envoi.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Etape 3 : </w:t>
            </w:r>
            <w:r>
              <w:rPr>
                <w:rFonts w:ascii="Arial" w:hAnsi="Arial"/>
                <w:sz w:val="16"/>
              </w:rPr>
              <w:t>Former les chefs de chantier / techniciens : leur donner un bloc d'avenants a faire signer pour tout extra.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Etape 4 : </w:t>
            </w:r>
            <w:r>
              <w:rPr>
                <w:rFonts w:ascii="Arial" w:hAnsi="Arial"/>
                <w:sz w:val="16"/>
              </w:rPr>
              <w:t>Chaque lundi matin, auditer les marges brutes realisees sur les devis signes de la semaine ecoulee.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13"/>
      </w:tblGrid>
      <w:tr>
        <w:tc>
          <w:tcPr>
            <w:tcW w:type="dxa" w:w="16"/>
            <w:tcW w:w="10200" w:type="dxa"/>
            <w:shd w:fill="F4F6F5"/>
            <w:tcMar>
              <w:top w:w="60" w:type="dxa"/>
              <w:bottom w:w="5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16" w:space="0" w:color="1B4D3E"/>
              <w:bottom w:val="single" w:sz="2" w:space="0" w:color="E2DCCC"/>
              <w:right w:val="single" w:sz="4" w:space="0" w:color="E2DCCC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8"/>
              </w:rPr>
              <w:t>CAS PRATIQUE REEL PME : PME Metallerie &amp; Agencement (18 salaries - CA : 2,8 M EUR)</w:t>
            </w:r>
          </w:p>
        </w:tc>
      </w:tr>
      <w:tr>
        <w:tc>
          <w:tcPr>
            <w:tcW w:type="dxa" w:w="16"/>
            <w:tcW w:w="10200" w:type="dxa"/>
            <w:shd w:fill="FFFFFF"/>
            <w:tcMar>
              <w:top w:w="50" w:type="dxa"/>
              <w:bottom w:w="60" w:type="dxa"/>
              <w:left w:w="100" w:type="dxa"/>
              <w:right w:w="100" w:type="dxa"/>
            </w:tcMar>
            <w:tcBorders>
              <w:top w:val="single" w:sz="2" w:space="0" w:color="E2DCCC"/>
              <w:left w:val="single" w:sz="16" w:space="0" w:color="1B4D3E"/>
              <w:bottom w:val="single" w:sz="4" w:space="0" w:color="E2DCCC"/>
              <w:right w:val="single" w:sz="4" w:space="0" w:color="E2DCCC"/>
            </w:tcBorders>
          </w:tcPr>
          <w:p>
            <w:pPr>
              <w:spacing w:after="40"/>
            </w:pPr>
            <w:r>
              <w:rPr>
                <w:b/>
                <w:color w:val="B71C1C"/>
                <w:sz w:val="16"/>
              </w:rPr>
              <w:t xml:space="preserve">1. Situation Initiale (Fuite de cash) : </w:t>
            </w:r>
            <w:r>
              <w:rPr>
                <w:sz w:val="16"/>
              </w:rPr>
              <w:t>L'entreprise gagnait de beaux chantiers mais degageait moins de 2% de resultat net. Les techniciens realisaient sur chantier de nombreuses adaptations demandees oralement par les architectes, sans jamais les chiffrer ni les refacturer.</w:t>
            </w:r>
          </w:p>
          <w:p>
            <w:pPr>
              <w:spacing w:after="40"/>
            </w:pPr>
            <w:r>
              <w:rPr>
                <w:b/>
                <w:color w:val="1B4D3E"/>
                <w:sz w:val="16"/>
              </w:rPr>
              <w:t xml:space="preserve">2. Action Commando Implante : </w:t>
            </w:r>
            <w:r>
              <w:rPr>
                <w:sz w:val="16"/>
              </w:rPr>
              <w:t>Deploiement de l'Outil 01 : mise en place de la checklist devis avec seuil de marge brute plancher a 34% et obligation d'un bon d'avenant signe pour toute heure supplementaire sur site.</w:t>
            </w:r>
          </w:p>
          <w:p>
            <w:pPr>
              <w:spacing w:after="20"/>
            </w:pPr>
            <w:r>
              <w:rPr>
                <w:b/>
                <w:color w:val="1B5E20"/>
                <w:sz w:val="16"/>
              </w:rPr>
              <w:t xml:space="preserve">3. ROI Financier Concret Mesure : </w:t>
            </w:r>
            <w:r>
              <w:rPr>
                <w:b/>
                <w:color w:val="1B5E20"/>
                <w:sz w:val="17"/>
              </w:rPr>
              <w:t>+38 400 EUR HT d'avenants factures des la premiere annee. Remontee de la marge brute moyenne de l'entreprise de 29,8% a 35,2%, soit +151 000 EUR de resultat d'exploitation additionnel.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rFonts w:ascii="Georgia" w:hAnsi="Georgia"/>
          <w:b/>
          <w:color w:val="1B4D3E"/>
          <w:sz w:val="19"/>
        </w:rPr>
        <w:t>GRILLE D'AUTO-EVALUATION DE L'EFFICACITE DU CADRAGE DEVIS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53"/>
        <w:gridCol w:w="2653"/>
        <w:gridCol w:w="2653"/>
        <w:gridCol w:w="2653"/>
      </w:tblGrid>
      <w:tr>
        <w:tc>
          <w:tcPr>
            <w:tcW w:type="dxa" w:w="7"/>
            <w:tcW w:w="42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CRITERE D'EVALUATION DE L'OUTIL</w:t>
            </w:r>
          </w:p>
        </w:tc>
        <w:tc>
          <w:tcPr>
            <w:tcW w:type="dxa" w:w="4"/>
            <w:tcW w:w="24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CIBLE ATTENDUE</w:t>
            </w:r>
          </w:p>
        </w:tc>
        <w:tc>
          <w:tcPr>
            <w:tcW w:type="dxa" w:w="2"/>
            <w:tcW w:w="14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CONFORME ?</w:t>
            </w:r>
          </w:p>
        </w:tc>
        <w:tc>
          <w:tcPr>
            <w:tcW w:type="dxa" w:w="3"/>
            <w:tcW w:w="22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ACTION CORRECTIVE SI NON</w:t>
            </w:r>
          </w:p>
        </w:tc>
      </w:tr>
      <w:tr>
        <w:tc>
          <w:tcPr>
            <w:tcW w:type="dxa" w:w="7"/>
            <w:tcW w:w="42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100% des devis &gt; 1 500 EUR ont la checklist de controle renseignee</w:t>
            </w:r>
          </w:p>
        </w:tc>
        <w:tc>
          <w:tcPr>
            <w:tcW w:type="dxa" w:w="4"/>
            <w:tcW w:w="24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100 % obligatoire</w:t>
            </w:r>
          </w:p>
        </w:tc>
        <w:tc>
          <w:tcPr>
            <w:tcW w:type="dxa" w:w="2"/>
            <w:tcW w:w="14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 OUI / NON ]</w:t>
            </w:r>
          </w:p>
        </w:tc>
        <w:tc>
          <w:tcPr>
            <w:tcW w:type="dxa" w:w="3"/>
            <w:tcW w:w="22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Audit hebdomadaire direction</w:t>
            </w:r>
          </w:p>
        </w:tc>
      </w:tr>
      <w:tr>
        <w:tc>
          <w:tcPr>
            <w:tcW w:type="dxa" w:w="7"/>
            <w:tcW w:w="42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Taux de travaux supplementaires factures avec avenant ecrit</w:t>
            </w:r>
          </w:p>
        </w:tc>
        <w:tc>
          <w:tcPr>
            <w:tcW w:type="dxa" w:w="4"/>
            <w:tcW w:w="24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&gt;= 95 % des extras</w:t>
            </w:r>
          </w:p>
        </w:tc>
        <w:tc>
          <w:tcPr>
            <w:tcW w:type="dxa" w:w="2"/>
            <w:tcW w:w="14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 OUI / NON ]</w:t>
            </w:r>
          </w:p>
        </w:tc>
        <w:tc>
          <w:tcPr>
            <w:tcW w:type="dxa" w:w="3"/>
            <w:tcW w:w="22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Rappel a l'ordre chefs chantier</w:t>
            </w:r>
          </w:p>
        </w:tc>
      </w:tr>
      <w:tr>
        <w:tc>
          <w:tcPr>
            <w:tcW w:type="dxa" w:w="7"/>
            <w:tcW w:w="42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Ecart entre marge previsionnelle devis et marge reelle de fin d'affaire</w:t>
            </w:r>
          </w:p>
        </w:tc>
        <w:tc>
          <w:tcPr>
            <w:tcW w:type="dxa" w:w="4"/>
            <w:tcW w:w="24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&lt;= 2 % d'ecart</w:t>
            </w:r>
          </w:p>
        </w:tc>
        <w:tc>
          <w:tcPr>
            <w:tcW w:type="dxa" w:w="2"/>
            <w:tcW w:w="14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 OUI / NON ]</w:t>
            </w:r>
          </w:p>
        </w:tc>
        <w:tc>
          <w:tcPr>
            <w:tcW w:type="dxa" w:w="3"/>
            <w:tcW w:w="22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Recalibrer les temps standards atelier</w:t>
            </w:r>
          </w:p>
        </w:tc>
      </w:tr>
      <w:tr>
        <w:tc>
          <w:tcPr>
            <w:tcW w:type="dxa" w:w="7"/>
            <w:tcW w:w="42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Aucun devis emis avec marge brute inferieure au seuil sans visa DG</w:t>
            </w:r>
          </w:p>
        </w:tc>
        <w:tc>
          <w:tcPr>
            <w:tcW w:type="dxa" w:w="4"/>
            <w:tcW w:w="24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Zero derogation occulte</w:t>
            </w:r>
          </w:p>
        </w:tc>
        <w:tc>
          <w:tcPr>
            <w:tcW w:type="dxa" w:w="2"/>
            <w:tcW w:w="14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 OUI / NON ]</w:t>
            </w:r>
          </w:p>
        </w:tc>
        <w:tc>
          <w:tcPr>
            <w:tcW w:type="dxa" w:w="3"/>
            <w:tcW w:w="22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Blocage informatique de validation</w:t>
            </w:r>
          </w:p>
        </w:tc>
      </w:tr>
    </w:tbl>
    <w:p>
      <w:pPr>
        <w:spacing w:after="60"/>
      </w:pPr>
    </w:p>
    <w:sectPr w:rsidR="00FC693F" w:rsidRPr="0006063C" w:rsidSect="00034616">
      <w:headerReference w:type="default" r:id="rId9"/>
      <w:footerReference w:type="default" r:id="rId10"/>
      <w:pgSz w:w="11909" w:h="16834"/>
      <w:pgMar w:top="576" w:right="648" w:bottom="576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10512"/>
      </w:tabs>
    </w:pPr>
    <w:r>
      <w:rPr>
        <w:rFonts w:ascii="Arial" w:hAnsi="Arial"/>
        <w:color w:val="787878"/>
        <w:sz w:val="15"/>
      </w:rPr>
      <w:t>Cabinet Delacour - contact@cabinetdelacour.com</w:t>
    </w:r>
    <w:r>
      <w:rPr>
        <w:rFonts w:ascii="Arial" w:hAnsi="Arial"/>
        <w:color w:val="787878"/>
        <w:sz w:val="15"/>
      </w:rPr>
      <w:tab/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787878"/>
        <w:sz w:val="15"/>
      </w:rPr>
      <w:t>CABINET DELACOUR - PERFORMANCE &amp; RENTABILITE PME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