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drawing>
          <wp:inline xmlns:a="http://schemas.openxmlformats.org/drawingml/2006/main" xmlns:pic="http://schemas.openxmlformats.org/drawingml/2006/picture">
            <wp:extent cx="6720840" cy="4910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_brand_unified_h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910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6"/>
              </w:rPr>
              <w:t>PROGRAMME CASH &amp; RENTABILITE DELACOUR - OUTIL 03 - GUIDE METHODOLOGIQUE</w:t>
              <w:br/>
            </w:r>
            <w:r>
              <w:rPr>
                <w:rFonts w:ascii="Georgia" w:hAnsi="Georgia"/>
                <w:b/>
                <w:color w:val="1B4D3E"/>
                <w:sz w:val="26"/>
              </w:rPr>
              <w:t>CHASSE AUX AVOIRS &amp; TRAITEMENT DES LITIGES CLIENTS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06"/>
        <w:gridCol w:w="5306"/>
      </w:tblGrid>
      <w:tr>
        <w:tc>
          <w:tcPr>
            <w:tcW w:type="dxa" w:w="16"/>
            <w:gridSpan w:val="2"/>
            <w:tcW w:w="10200" w:type="dxa"/>
            <w:shd w:fill="FDFB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19"/>
              </w:rPr>
              <w:t>POURQUOI CET OUTIL TRANSFORME LA RENTABILITE DE L'ENTREPRISE</w:t>
            </w:r>
          </w:p>
        </w:tc>
      </w:tr>
      <w:tr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l'entreprise GAGNE (Cash direct)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Preservation immediate du resultat net de l'entreprise : chaque euro d'avoir economise est 1 euro de benefice.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Fin de la culture du 'geste commercial de facilite' consenti au detriment de l'entreprise.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Recuperation systematique des couts aupres des vrais coupables (transporteurs et fournisseurs defaillants).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Identification des clients chroniquement toxiques qui contestent systematiquement pour obtenir des remises.</w:t>
            </w:r>
          </w:p>
        </w:tc>
        <w:tc>
          <w:tcPr>
            <w:tcW w:type="dxa" w:w="8"/>
            <w:tcW w:w="5100" w:type="dxa"/>
            <w:shd w:fill="FDFB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l'entreprise PERD sans cet outil (Gaspillages)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Emission d'avoirs incontrôlés par les commerciaux pour masquer leurs propres erreurs de négociation.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Perte d'exploitation dramatique : une PME a 5% de marge nette doit vendre 20 000 EUR pour combler 1 000 EUR d'avoir.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Non-recours aupres des transporteurs qui brisent les marchandises en toute impunite.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Degradation de la valeur percue : un client a qui l'on accorde trop facilement un avoir considere que vos prix etaient gonfles.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9F9F7"/>
            <w:tcMar>
              <w:top w:w="7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9"/>
              </w:rPr>
              <w:t>CONSEIL CONSULTANT &amp; POSTURE TERRAIN (RECUPERATION DU CASH)</w:t>
            </w:r>
            <w:r>
              <w:rPr>
                <w:rFonts w:ascii="Arial" w:hAnsi="Arial"/>
                <w:i/>
                <w:sz w:val="16"/>
              </w:rPr>
              <w:br/>
              <w:t>Le consultant doit apprendre a l'equipe commerciale a defendre la marge comme s'il s'agissait de leur propre compte bancaire.</w:t>
            </w:r>
          </w:p>
        </w:tc>
      </w:tr>
      <w:tr>
        <w:tc>
          <w:tcPr>
            <w:tcW w:type="dxa" w:w="16"/>
            <w:tcW w:w="10200" w:type="dxa"/>
            <w:shd w:fill="F9F9F7"/>
            <w:tcMar>
              <w:top w:w="50" w:type="dxa"/>
              <w:bottom w:w="70" w:type="dxa"/>
              <w:left w:w="120" w:type="dxa"/>
              <w:right w:w="120" w:type="dxa"/>
            </w:tcMar>
            <w:tcBorders>
              <w:top w:val="single" w:sz="2" w:space="0" w:color="E2DCCC"/>
              <w:left w:val="single" w:sz="6" w:space="0" w:color="C5A065"/>
              <w:bottom w:val="single" w:sz="6" w:space="0" w:color="C5A065"/>
              <w:right w:val="single" w:sz="6" w:space="0" w:color="C5A065"/>
            </w:tcBorders>
          </w:tcPr>
          <w:p>
            <w:pPr>
              <w:spacing w:after="20"/>
            </w:pP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Interdire les avoirs verbaux : </w:t>
            </w:r>
            <w:r>
              <w:rPr>
                <w:rFonts w:ascii="Arial" w:hAnsi="Arial"/>
                <w:sz w:val="16"/>
              </w:rPr>
              <w:t>Aucun avoir ne doit etre promis a un client au telephone sans fiche d'instruction ecrite.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La pyramide de reponse : </w:t>
            </w:r>
            <w:r>
              <w:rPr>
                <w:rFonts w:ascii="Arial" w:hAnsi="Arial"/>
                <w:sz w:val="16"/>
              </w:rPr>
              <w:t>Prioriser toujours la reparation technique ou le bon d'achat avant d'envisager le moindre avoir financier.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Faire payer les tiers : </w:t>
            </w:r>
            <w:r>
              <w:rPr>
                <w:rFonts w:ascii="Arial" w:hAnsi="Arial"/>
                <w:sz w:val="16"/>
              </w:rPr>
              <w:t>Si le transporteur a casse le colis, actionner la reserve sur lettre de voiture sous 3 jours; ne pas faire supporter la perte a l'entreprise.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- Le bilan mensuel de la honte : </w:t>
            </w:r>
            <w:r>
              <w:rPr>
                <w:rFonts w:ascii="Arial" w:hAnsi="Arial"/>
                <w:sz w:val="16"/>
              </w:rPr>
              <w:t>Afficher chaque mois le montant total des avoirs emis ventile par responsable et cause.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5F7F6"/>
            <w:tcMar>
              <w:top w:w="70" w:type="dxa"/>
              <w:bottom w:w="70" w:type="dxa"/>
              <w:left w:w="120" w:type="dxa"/>
              <w:right w:w="12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8"/>
              </w:rPr>
              <w:t>PROTOCOLE DE DEPLOIEMENT PAS-A-PAS (REGLE DES 2 MINUTES &amp; CHRONO)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1 : </w:t>
            </w:r>
            <w:r>
              <w:rPr>
                <w:rFonts w:ascii="Arial" w:hAnsi="Arial"/>
                <w:sz w:val="16"/>
              </w:rPr>
              <w:t>Parametrer le logiciel comptable/ERP : bloquer la creation d'un avoir sans saisie d'un code motif et d'une fiche validee.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2 : </w:t>
            </w:r>
            <w:r>
              <w:rPr>
                <w:rFonts w:ascii="Arial" w:hAnsi="Arial"/>
                <w:sz w:val="16"/>
              </w:rPr>
              <w:t>Mettre en place la matrice de delegation : les commerciaux ne peuvent signer aucun avoir superieur a 150 EUR.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3 : </w:t>
            </w:r>
            <w:r>
              <w:rPr>
                <w:rFonts w:ascii="Arial" w:hAnsi="Arial"/>
                <w:sz w:val="16"/>
              </w:rPr>
              <w:t>Creer le formulaire reflexe 'Recours Transporteur/Fournisseur' avec photos obligatoires a reception.</w:t>
            </w:r>
          </w:p>
          <w:p>
            <w:pPr>
              <w:spacing w:after="2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Etape 4 : </w:t>
            </w:r>
            <w:r>
              <w:rPr>
                <w:rFonts w:ascii="Arial" w:hAnsi="Arial"/>
                <w:sz w:val="16"/>
              </w:rPr>
              <w:t>Former les commerciaux a l'art de dire NON poliment mais fermement aux demandes de remises opportunistes.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613"/>
      </w:tblGrid>
      <w:tr>
        <w:tc>
          <w:tcPr>
            <w:tcW w:type="dxa" w:w="16"/>
            <w:tcW w:w="10200" w:type="dxa"/>
            <w:shd w:fill="F4F6F5"/>
            <w:tcMar>
              <w:top w:w="60" w:type="dxa"/>
              <w:bottom w:w="5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16" w:space="0" w:color="1B4D3E"/>
              <w:bottom w:val="single" w:sz="2" w:space="0" w:color="E2DCCC"/>
              <w:right w:val="single" w:sz="4" w:space="0" w:color="E2DCCC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8"/>
              </w:rPr>
              <w:t>CAS PRATIQUE REEL PME : PME Negoce Technique &amp; Fournitures Batiment (14 salaries - CA : 4,2 M EUR)</w:t>
            </w:r>
          </w:p>
        </w:tc>
      </w:tr>
      <w:tr>
        <w:tc>
          <w:tcPr>
            <w:tcW w:type="dxa" w:w="16"/>
            <w:tcW w:w="10200" w:type="dxa"/>
            <w:shd w:fill="FFFFFF"/>
            <w:tcMar>
              <w:top w:w="50" w:type="dxa"/>
              <w:bottom w:w="60" w:type="dxa"/>
              <w:left w:w="100" w:type="dxa"/>
              <w:right w:w="100" w:type="dxa"/>
            </w:tcMar>
            <w:tcBorders>
              <w:top w:val="single" w:sz="2" w:space="0" w:color="E2DCCC"/>
              <w:left w:val="single" w:sz="16" w:space="0" w:color="1B4D3E"/>
              <w:bottom w:val="single" w:sz="4" w:space="0" w:color="E2DCCC"/>
              <w:right w:val="single" w:sz="4" w:space="0" w:color="E2DCCC"/>
            </w:tcBorders>
          </w:tcPr>
          <w:p>
            <w:pPr>
              <w:spacing w:after="40"/>
            </w:pPr>
            <w:r>
              <w:rPr>
                <w:b/>
                <w:color w:val="B71C1C"/>
                <w:sz w:val="16"/>
              </w:rPr>
              <w:t xml:space="preserve">1. Situation Initiale (Fuite de cash) : </w:t>
            </w:r>
            <w:r>
              <w:rPr>
                <w:sz w:val="16"/>
              </w:rPr>
              <w:t>L'entreprise emettait plus de 52 000 EUR d'avoirs par an (soit 1,2% du CA). Les commerciaux utilisaient les avoirs pour calmer les clients sans chercher la cause des retards ou des erreurs de reference.</w:t>
            </w:r>
          </w:p>
          <w:p>
            <w:pPr>
              <w:spacing w:after="40"/>
            </w:pPr>
            <w:r>
              <w:rPr>
                <w:b/>
                <w:color w:val="1B4D3E"/>
                <w:sz w:val="16"/>
              </w:rPr>
              <w:t xml:space="preserve">2. Action Commando Implante : </w:t>
            </w:r>
            <w:r>
              <w:rPr>
                <w:sz w:val="16"/>
              </w:rPr>
              <w:t>Deploiement de l'Outil 03 : verrouillage informatique de l'emission des avoirs, obligation d'un visa de la DG au-dela de 300 EUR et refacturation systematique des litiges transporteurs aux prestataires logistiques.</w:t>
            </w:r>
          </w:p>
          <w:p>
            <w:pPr>
              <w:spacing w:after="20"/>
            </w:pPr>
            <w:r>
              <w:rPr>
                <w:b/>
                <w:color w:val="1B5E20"/>
                <w:sz w:val="16"/>
              </w:rPr>
              <w:t xml:space="preserve">3. ROI Financier Concret Mesure : </w:t>
            </w:r>
            <w:r>
              <w:rPr>
                <w:b/>
                <w:color w:val="1B5E20"/>
                <w:sz w:val="17"/>
              </w:rPr>
              <w:t>Le montant total des avoirs a chute de 52 000 EUR a 14 600 EUR en 12 mois. 18 200 EUR ont ete directement recuperes aupres des transporteurs. Gain net de tresorerie : +37 400 EUR.</w:t>
            </w:r>
          </w:p>
        </w:tc>
      </w:tr>
    </w:tbl>
    <w:p>
      <w:pPr>
        <w:spacing w:after="80"/>
      </w:pPr>
    </w:p>
    <w:p>
      <w:pPr>
        <w:spacing w:before="120" w:after="40"/>
      </w:pPr>
      <w:r>
        <w:rPr>
          <w:rFonts w:ascii="Georgia" w:hAnsi="Georgia"/>
          <w:b/>
          <w:color w:val="1B4D3E"/>
          <w:sz w:val="19"/>
        </w:rPr>
        <w:t>GRILLE D'AUTO-EVALUATION DE LA MAÎTRISE DES AVOIRS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53"/>
        <w:gridCol w:w="2653"/>
        <w:gridCol w:w="2653"/>
        <w:gridCol w:w="2653"/>
      </w:tblGrid>
      <w:tr>
        <w:tc>
          <w:tcPr>
            <w:tcW w:type="dxa" w:w="7"/>
            <w:tcW w:w="4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CRITERE D'EVALUATION DE L'OUTIL</w:t>
            </w:r>
          </w:p>
        </w:tc>
        <w:tc>
          <w:tcPr>
            <w:tcW w:type="dxa" w:w="4"/>
            <w:tcW w:w="2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CIBLE ATTENDUE</w:t>
            </w:r>
          </w:p>
        </w:tc>
        <w:tc>
          <w:tcPr>
            <w:tcW w:type="dxa" w:w="2"/>
            <w:tcW w:w="14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CONFORME ?</w:t>
            </w:r>
          </w:p>
        </w:tc>
        <w:tc>
          <w:tcPr>
            <w:tcW w:type="dxa" w:w="3"/>
            <w:tcW w:w="2200" w:type="dxa"/>
            <w:shd w:fill="1B4D3E"/>
            <w:tcMar>
              <w:top w:w="50" w:type="dxa"/>
              <w:bottom w:w="50" w:type="dxa"/>
              <w:left w:w="60" w:type="dxa"/>
              <w:right w:w="60" w:type="dxa"/>
            </w:tcMar>
            <w:tcBorders>
              <w:top w:val="single" w:sz="4" w:space="0" w:color="1B4D3E"/>
              <w:left w:val="single" w:sz="4" w:space="0" w:color="1B4D3E"/>
              <w:bottom w:val="single" w:sz="4" w:space="0" w:color="1B4D3E"/>
              <w:right w:val="single" w:sz="4" w:space="0" w:color="1B4D3E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6"/>
              </w:rPr>
              <w:t>ACTION CORRECTIVE SI NON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d'avoirs emis par rapport au Chiffre d'Affaires total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&lt;= 0,5 % du CA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Audit mensuel comptabilite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100% des avoirs &gt; 500 EUR ont recu la signature prealable de la DG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100 % obligatoire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Verrouillage acces ERP</w:t>
            </w:r>
          </w:p>
        </w:tc>
      </w:tr>
      <w:tr>
        <w:tc>
          <w:tcPr>
            <w:tcW w:type="dxa" w:w="7"/>
            <w:tcW w:w="4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Taux de recouvrement des litiges aupres des transporteurs/fournisseurs</w:t>
            </w:r>
          </w:p>
        </w:tc>
        <w:tc>
          <w:tcPr>
            <w:tcW w:type="dxa" w:w="4"/>
            <w:tcW w:w="2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&gt;= 75 % du prejudice</w:t>
            </w:r>
          </w:p>
        </w:tc>
        <w:tc>
          <w:tcPr>
            <w:tcW w:type="dxa" w:w="2"/>
            <w:tcW w:w="14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FFFFF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Suivi des dossiers d'assurance</w:t>
            </w:r>
          </w:p>
        </w:tc>
      </w:tr>
      <w:tr>
        <w:tc>
          <w:tcPr>
            <w:tcW w:type="dxa" w:w="7"/>
            <w:tcW w:w="4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Reunion mensuelle d'analyse des causes de litiges tenue</w:t>
            </w:r>
          </w:p>
        </w:tc>
        <w:tc>
          <w:tcPr>
            <w:tcW w:type="dxa" w:w="4"/>
            <w:tcW w:w="2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12 par an</w:t>
            </w:r>
          </w:p>
        </w:tc>
        <w:tc>
          <w:tcPr>
            <w:tcW w:type="dxa" w:w="2"/>
            <w:tcW w:w="14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pPr>
              <w:jc w:val="center"/>
            </w:pPr>
            <w:r>
              <w:rPr>
                <w:rFonts w:ascii="Arial" w:hAnsi="Arial"/>
                <w:i/>
                <w:color w:val="787878"/>
                <w:sz w:val="15"/>
              </w:rPr>
              <w:t>[ OUI / NON ]</w:t>
            </w:r>
          </w:p>
        </w:tc>
        <w:tc>
          <w:tcPr>
            <w:tcW w:type="dxa" w:w="3"/>
            <w:tcW w:w="2200" w:type="dxa"/>
            <w:shd w:fill="F9F9F7"/>
            <w:tcMar>
              <w:top w:w="45" w:type="dxa"/>
              <w:bottom w:w="45" w:type="dxa"/>
              <w:left w:w="60" w:type="dxa"/>
              <w:right w:w="6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E2DCCC"/>
            </w:tcBorders>
          </w:tcPr>
          <w:p>
            <w:r>
              <w:rPr>
                <w:rFonts w:ascii="Arial" w:hAnsi="Arial"/>
                <w:sz w:val="15"/>
              </w:rPr>
              <w:t>Mise en place d'actions preventives</w:t>
            </w:r>
          </w:p>
        </w:tc>
      </w:tr>
    </w:tbl>
    <w:p>
      <w:pPr>
        <w:spacing w:after="6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10512"/>
      </w:tabs>
    </w:pPr>
    <w:r>
      <w:rPr>
        <w:rFonts w:ascii="Arial" w:hAnsi="Arial"/>
        <w:color w:val="787878"/>
        <w:sz w:val="15"/>
      </w:rPr>
      <w:t>Cabinet Delacour - contact@cabinetdelacour.com</w:t>
    </w:r>
    <w:r>
      <w:rPr>
        <w:rFonts w:ascii="Arial" w:hAnsi="Arial"/>
        <w:color w:val="787878"/>
        <w:sz w:val="15"/>
      </w:rPr>
      <w:tab/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787878"/>
        <w:sz w:val="15"/>
      </w:rPr>
      <w:t>CABINET DELACOUR - PERFORMANCE &amp; RENTABILITE PME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