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512"/>
      </w:tblGrid>
      <w:tr>
        <w:tc>
          <w:tcPr>
            <w:tcW w:type="dxa" w:w="10512"/>
            <w:tcW w:w="10200" w:type="dxa"/>
            <w:shd w:fill="F9F9F7"/>
            <w:tcMar>
              <w:top w:w="100" w:type="dxa"/>
              <w:bottom w:w="100" w:type="dxa"/>
              <w:left w:w="140" w:type="dxa"/>
              <w:right w:w="140" w:type="dxa"/>
            </w:tcMar>
            <w:tcBorders>
              <w:top w:val="single" w:sz="4" w:space="0" w:color="E2DCCC"/>
              <w:left w:val="single" w:sz="24" w:space="0" w:color="C5A065"/>
              <w:bottom w:val="single" w:sz="4" w:space="0" w:color="E2DCCC"/>
              <w:right w:val="single" w:sz="4" w:space="0" w:color="E2DCCC"/>
              <w:insideH w:val="none"/>
              <w:insideV w:val="none"/>
            </w:tcBorders>
          </w:tcPr>
          <w:p>
            <w:pPr>
              <w:spacing w:after="40"/>
            </w:pPr>
            <w:r>
              <w:rPr>
                <w:rFonts w:ascii="Arial" w:hAnsi="Arial"/>
                <w:b/>
                <w:color w:val="C5A065"/>
                <w:sz w:val="17"/>
              </w:rPr>
              <w:t>SÉQUENCE 1 • DIRECTION &amp; PILOTAGE • OUTIL 1.1 — Clauses ISO 9001:2015 §5.1, §6.2, §9.1 &amp; §9.3</w:t>
              <w:br/>
            </w:r>
            <w:r>
              <w:rPr>
                <w:rFonts w:ascii="Georgia" w:hAnsi="Georgia"/>
                <w:b/>
                <w:color w:val="1B4D3E"/>
                <w:sz w:val="28"/>
              </w:rPr>
              <w:t>Tableau de Suivi Mensuel des Indicateurs de Rentabilité (Cockpit PME)</w:t>
              <w:br/>
            </w:r>
            <w:r>
              <w:rPr>
                <w:rFonts w:ascii="Arial" w:hAnsi="Arial"/>
                <w:i/>
                <w:color w:val="787878"/>
                <w:sz w:val="16"/>
              </w:rPr>
              <w:t>Entreprise : Entreprise Industrielle Démo &amp; Co. • Date de révision : 17/09/2026 • Fréquence : Mensuelle (15 min chrono)</w:t>
            </w:r>
          </w:p>
        </w:tc>
      </w:tr>
    </w:tbl>
    <w:p>
      <w:pPr>
        <w:spacing w:after="80"/>
      </w:pPr>
    </w:p>
    <w:tbl>
      <w:tblPr>
        <w:tblW w:type="auto" w:w="0"/>
        <w:jc w:val="center"/>
        <w:tblLayout w:type="fixed"/>
        <w:tblLook w:firstColumn="1" w:firstRow="1" w:lastColumn="0" w:lastRow="0" w:noHBand="0" w:noVBand="1" w:val="04A0"/>
      </w:tblPr>
      <w:tblGrid>
        <w:gridCol w:w="5256"/>
        <w:gridCol w:w="5256"/>
      </w:tblGrid>
      <w:tr>
        <w:tc>
          <w:tcPr>
            <w:tcW w:type="dxa" w:w="10512"/>
            <w:gridSpan w:val="2"/>
            <w:tcW w:w="10200" w:type="dxa"/>
            <w:shd w:fill="F7F9F8"/>
            <w:tcMar>
              <w:top w:w="70" w:type="dxa"/>
              <w:bottom w:w="50" w:type="dxa"/>
              <w:left w:w="120" w:type="dxa"/>
              <w:right w:w="120" w:type="dxa"/>
            </w:tcMar>
            <w:tcBorders>
              <w:top w:val="single" w:sz="4" w:space="0" w:color="4A6C5C"/>
              <w:left w:val="single" w:sz="24" w:space="0" w:color="1B4D3E"/>
              <w:bottom w:val="single" w:sz="4" w:space="0" w:color="E2DCCC"/>
              <w:right w:val="single" w:sz="4" w:space="0" w:color="4A6C5C"/>
              <w:insideH w:val="none"/>
              <w:insideV w:val="none"/>
            </w:tcBorders>
          </w:tcPr>
          <w:p>
            <w:pPr>
              <w:spacing w:after="0"/>
            </w:pPr>
            <w:r>
              <w:rPr>
                <w:rFonts w:ascii="Georgia" w:hAnsi="Georgia"/>
                <w:b/>
                <w:color w:val="1B4D3E"/>
                <w:sz w:val="19"/>
              </w:rPr>
              <w:t>POSTURE CONSULTANT &amp; AXES DE SURVEILLANCE RENTABILITÉ</w:t>
            </w:r>
          </w:p>
        </w:tc>
      </w:tr>
      <w:tr>
        <w:tc>
          <w:tcPr>
            <w:tcW w:type="dxa" w:w="10512"/>
            <w:gridSpan w:val="2"/>
            <w:tcW w:w="10200" w:type="dxa"/>
            <w:shd w:fill="F7F9F8"/>
            <w:tcMar>
              <w:top w:w="30" w:type="dxa"/>
              <w:bottom w:w="50" w:type="dxa"/>
              <w:left w:w="120" w:type="dxa"/>
              <w:right w:w="120" w:type="dxa"/>
            </w:tcMar>
            <w:tcBorders>
              <w:top w:val="none"/>
              <w:left w:val="single" w:sz="24" w:space="0" w:color="1B4D3E"/>
              <w:bottom w:val="single" w:sz="4" w:space="0" w:color="E2DCCC"/>
              <w:right w:val="single" w:sz="4" w:space="0" w:color="4A6C5C"/>
              <w:insideH w:val="none"/>
              <w:insideV w:val="none"/>
            </w:tcBorders>
          </w:tcPr>
          <w:p>
            <w:pPr>
              <w:spacing w:after="0"/>
            </w:pPr>
            <w:r>
              <w:rPr>
                <w:rFonts w:ascii="Arial" w:hAnsi="Arial"/>
                <w:b/>
                <w:color w:val="1B4D3E"/>
                <w:sz w:val="16"/>
              </w:rPr>
              <w:t xml:space="preserve">Règle d'or du dirigeant : </w:t>
            </w:r>
            <w:r>
              <w:rPr>
                <w:rFonts w:ascii="Arial" w:hAnsi="Arial"/>
                <w:i/>
                <w:sz w:val="16"/>
              </w:rPr>
              <w:t>« 15 minutes le 1er ouvré du mois avec les pilotes de processus évitent 15 heures de gestion d'urgence en fin de trimestre. Un indicateur rouge sans arbitrage immédiat est une perte sèche pour l'entreprise. »</w:t>
            </w:r>
          </w:p>
        </w:tc>
      </w:tr>
      <w:tr>
        <w:tc>
          <w:tcPr>
            <w:tcW w:type="dxa" w:w="5256"/>
            <w:tcW w:w="5100" w:type="dxa"/>
            <w:shd w:fill="FFFFFF"/>
            <w:tcMar>
              <w:top w:w="50" w:type="dxa"/>
              <w:bottom w:w="50" w:type="dxa"/>
              <w:left w:w="90" w:type="dxa"/>
              <w:right w:w="90" w:type="dxa"/>
            </w:tcMar>
            <w:tcBorders>
              <w:top w:val="single" w:sz="4" w:space="0" w:color="E2DCCC"/>
              <w:left w:val="single" w:sz="24" w:space="0" w:color="1B4D3E"/>
              <w:bottom w:val="single" w:sz="4" w:space="0" w:color="E2DCCC"/>
              <w:right w:val="single" w:sz="4" w:space="0" w:color="E2DCCC"/>
              <w:insideH w:val="none"/>
              <w:insideV w:val="none"/>
            </w:tcBorders>
          </w:tcPr>
          <w:p>
            <w:pPr>
              <w:spacing w:after="20"/>
            </w:pPr>
            <w:r>
              <w:rPr>
                <w:rFonts w:ascii="Georgia" w:hAnsi="Georgia"/>
                <w:b/>
                <w:color w:val="1B4D3E"/>
                <w:sz w:val="16"/>
              </w:rPr>
              <w:t>1. P1 Direction &amp; Trésorerie</w:t>
              <w:br/>
            </w:r>
            <w:r>
              <w:rPr>
                <w:rFonts w:ascii="Arial" w:hAnsi="Arial"/>
                <w:color w:val="1B4D3E"/>
                <w:sz w:val="15"/>
              </w:rPr>
              <w:t>Surveiller le CA facturé HT, la marge brute réelle et le solde bancaire net disponible à 30 jours.</w:t>
            </w:r>
          </w:p>
        </w:tc>
        <w:tc>
          <w:tcPr>
            <w:tcW w:type="dxa" w:w="5256"/>
            <w:tcW w:w="5100" w:type="dxa"/>
            <w:shd w:fill="FFFFFF"/>
            <w:tcMar>
              <w:top w:w="50" w:type="dxa"/>
              <w:bottom w:w="50" w:type="dxa"/>
              <w:left w:w="90" w:type="dxa"/>
              <w:right w:w="90" w:type="dxa"/>
            </w:tcMar>
            <w:tcBorders>
              <w:top w:val="single" w:sz="4" w:space="0" w:color="E2DCCC"/>
              <w:left w:val="single" w:sz="4" w:space="0" w:color="E2DCCC"/>
              <w:bottom w:val="single" w:sz="4" w:space="0" w:color="E2DCCC"/>
              <w:right w:val="single" w:sz="4" w:space="0" w:color="4A6C5C"/>
              <w:insideH w:val="none"/>
              <w:insideV w:val="none"/>
            </w:tcBorders>
          </w:tcPr>
          <w:p>
            <w:pPr>
              <w:spacing w:after="20"/>
            </w:pPr>
            <w:r>
              <w:rPr>
                <w:rFonts w:ascii="Georgia" w:hAnsi="Georgia"/>
                <w:b/>
                <w:color w:val="1B4D3E"/>
                <w:sz w:val="16"/>
              </w:rPr>
              <w:t>2. P2 Marketing &amp; Commercial</w:t>
              <w:br/>
            </w:r>
            <w:r>
              <w:rPr>
                <w:rFonts w:ascii="Arial" w:hAnsi="Arial"/>
                <w:color w:val="1B4D3E"/>
                <w:sz w:val="15"/>
              </w:rPr>
              <w:t>Mesurer le taux de transformation des devis et traquer impitoyablement les devis sans relance &gt; 7 jours.</w:t>
            </w:r>
          </w:p>
        </w:tc>
      </w:tr>
      <w:tr>
        <w:tc>
          <w:tcPr>
            <w:tcW w:type="dxa" w:w="5256"/>
            <w:tcW w:w="5100" w:type="dxa"/>
            <w:shd w:fill="FFFFFF"/>
            <w:tcMar>
              <w:top w:w="50" w:type="dxa"/>
              <w:bottom w:w="50" w:type="dxa"/>
              <w:left w:w="90" w:type="dxa"/>
              <w:right w:w="90" w:type="dxa"/>
            </w:tcMar>
            <w:tcBorders>
              <w:top w:val="single" w:sz="4" w:space="0" w:color="E2DCCC"/>
              <w:left w:val="single" w:sz="24" w:space="0" w:color="1B4D3E"/>
              <w:bottom w:val="single" w:sz="4" w:space="0" w:color="4A6C5C"/>
              <w:right w:val="single" w:sz="4" w:space="0" w:color="E2DCCC"/>
              <w:insideH w:val="none"/>
              <w:insideV w:val="none"/>
            </w:tcBorders>
          </w:tcPr>
          <w:p>
            <w:pPr>
              <w:spacing w:after="20"/>
            </w:pPr>
            <w:r>
              <w:rPr>
                <w:rFonts w:ascii="Georgia" w:hAnsi="Georgia"/>
                <w:b/>
                <w:color w:val="1B4D3E"/>
                <w:sz w:val="16"/>
              </w:rPr>
              <w:t>3. P3 Réalisation &amp; Atelier</w:t>
              <w:br/>
            </w:r>
            <w:r>
              <w:rPr>
                <w:rFonts w:ascii="Arial" w:hAnsi="Arial"/>
                <w:color w:val="1B4D3E"/>
                <w:sz w:val="15"/>
              </w:rPr>
              <w:t>Assurer le taux de respect des délais promis (OTD) et stopper l'hémorragie des rebuts et pièces retouchées.</w:t>
            </w:r>
          </w:p>
        </w:tc>
        <w:tc>
          <w:tcPr>
            <w:tcW w:type="dxa" w:w="5256"/>
            <w:tcW w:w="5100" w:type="dxa"/>
            <w:shd w:fill="FFFFFF"/>
            <w:tcMar>
              <w:top w:w="50" w:type="dxa"/>
              <w:bottom w:w="50" w:type="dxa"/>
              <w:left w:w="90" w:type="dxa"/>
              <w:right w:w="90" w:type="dxa"/>
            </w:tcMar>
            <w:tcBorders>
              <w:top w:val="single" w:sz="4" w:space="0" w:color="E2DCCC"/>
              <w:left w:val="single" w:sz="4" w:space="0" w:color="E2DCCC"/>
              <w:bottom w:val="single" w:sz="4" w:space="0" w:color="4A6C5C"/>
              <w:right w:val="single" w:sz="4" w:space="0" w:color="4A6C5C"/>
              <w:insideH w:val="none"/>
              <w:insideV w:val="none"/>
            </w:tcBorders>
          </w:tcPr>
          <w:p>
            <w:pPr>
              <w:spacing w:after="20"/>
            </w:pPr>
            <w:r>
              <w:rPr>
                <w:rFonts w:ascii="Georgia" w:hAnsi="Georgia"/>
                <w:b/>
                <w:color w:val="1B4D3E"/>
                <w:sz w:val="16"/>
              </w:rPr>
              <w:t>4. P4 RH &amp; P5 Non-Qualité</w:t>
              <w:br/>
            </w:r>
            <w:r>
              <w:rPr>
                <w:rFonts w:ascii="Arial" w:hAnsi="Arial"/>
                <w:color w:val="1B4D3E"/>
                <w:sz w:val="15"/>
              </w:rPr>
              <w:t>Contrôler le taux d'absentéisme imprévu, la polyvalence postes clés et traiter les litiges clients sous 48h.</w:t>
            </w:r>
          </w:p>
        </w:tc>
      </w:tr>
    </w:tbl>
    <w:p>
      <w:pPr>
        <w:spacing w:after="60"/>
      </w:pPr>
    </w:p>
    <w:tbl>
      <w:tblPr>
        <w:tblW w:type="auto" w:w="0"/>
        <w:jc w:val="center"/>
        <w:tblLayout w:type="fixed"/>
        <w:tblLook w:firstColumn="1" w:firstRow="1" w:lastColumn="0" w:lastRow="0" w:noHBand="0" w:noVBand="1" w:val="04A0"/>
      </w:tblPr>
      <w:tblGrid>
        <w:gridCol w:w="5256"/>
        <w:gridCol w:w="5256"/>
      </w:tblGrid>
      <w:tr>
        <w:tc>
          <w:tcPr>
            <w:tcW w:type="dxa" w:w="10512"/>
            <w:gridSpan w:val="2"/>
            <w:tcW w:w="10200" w:type="dxa"/>
            <w:shd w:fill="FDFBF7"/>
            <w:tcMar>
              <w:top w:w="70" w:type="dxa"/>
              <w:bottom w:w="40" w:type="dxa"/>
              <w:left w:w="120" w:type="dxa"/>
              <w:right w:w="120" w:type="dxa"/>
            </w:tcMar>
            <w:tcBorders>
              <w:top w:val="single" w:sz="6" w:space="0" w:color="C5A065"/>
              <w:left w:val="single" w:sz="6" w:space="0" w:color="C5A065"/>
              <w:bottom w:val="single" w:sz="4" w:space="0" w:color="C5A065"/>
              <w:right w:val="single" w:sz="6" w:space="0" w:color="C5A065"/>
              <w:insideH w:val="none"/>
              <w:insideV w:val="none"/>
            </w:tcBorders>
          </w:tcPr>
          <w:p>
            <w:pPr>
              <w:spacing w:after="0"/>
            </w:pPr>
            <w:r>
              <w:rPr>
                <w:rFonts w:ascii="Georgia" w:hAnsi="Georgia"/>
                <w:b/>
                <w:color w:val="1B4D3E"/>
                <w:sz w:val="19"/>
              </w:rPr>
              <w:t>POURQUOI CET OUTIL EST-IL ABSOLUMENT CAPITAL POUR VOTRE ENTREPRISE ?</w:t>
            </w:r>
          </w:p>
        </w:tc>
      </w:tr>
      <w:tr>
        <w:tc>
          <w:tcPr>
            <w:tcW w:type="dxa" w:w="5256"/>
            <w:tcW w:w="5100" w:type="dxa"/>
            <w:shd w:fill="FDFBF7"/>
            <w:tcMar>
              <w:top w:w="50" w:type="dxa"/>
              <w:bottom w:w="60" w:type="dxa"/>
              <w:left w:w="120" w:type="dxa"/>
              <w:right w:w="120" w:type="dxa"/>
            </w:tcMar>
            <w:tcBorders>
              <w:top w:val="single" w:sz="4" w:space="0" w:color="C5A065"/>
              <w:left w:val="single" w:sz="6" w:space="0" w:color="C5A065"/>
              <w:bottom w:val="single" w:sz="6" w:space="0" w:color="C5A065"/>
              <w:right w:val="single" w:sz="4" w:space="0" w:color="E2DCCC"/>
              <w:insideH w:val="none"/>
              <w:insideV w:val="none"/>
            </w:tcBorders>
          </w:tcPr>
          <w:p>
            <w:pPr>
              <w:spacing w:after="40"/>
            </w:pPr>
            <w:r>
              <w:rPr>
                <w:rFonts w:ascii="Georgia" w:hAnsi="Georgia"/>
                <w:b/>
                <w:color w:val="1B5E20"/>
                <w:sz w:val="16"/>
              </w:rPr>
              <w:t>Ce que vous gagnez à l'utiliser :</w:t>
              <w:br/>
            </w:r>
          </w:p>
          <w:p>
            <w:pPr>
              <w:spacing w:after="20"/>
            </w:pPr>
            <w:r>
              <w:rPr>
                <w:rFonts w:ascii="Arial" w:hAnsi="Arial"/>
                <w:sz w:val="15"/>
              </w:rPr>
              <w:t>• Sécurisation immédiate de 2 à 4 points de marge brute dès le premier trimestre d'utilisation.</w:t>
            </w:r>
          </w:p>
          <w:p>
            <w:pPr>
              <w:spacing w:after="20"/>
            </w:pPr>
            <w:r>
              <w:rPr>
                <w:rFonts w:ascii="Arial" w:hAnsi="Arial"/>
                <w:sz w:val="15"/>
              </w:rPr>
              <w:t>• Suppression des surprises de trésorerie et visibilité à 30 jours pour le dirigeant.</w:t>
            </w:r>
          </w:p>
          <w:p>
            <w:pPr>
              <w:spacing w:after="20"/>
            </w:pPr>
            <w:r>
              <w:rPr>
                <w:rFonts w:ascii="Arial" w:hAnsi="Arial"/>
                <w:sz w:val="15"/>
              </w:rPr>
              <w:t>• Conformité totale ISO 9001:2015 (§5.1, §6.2, §9.1, §9.3) lors des audits clients et de certification.</w:t>
            </w:r>
          </w:p>
          <w:p>
            <w:pPr>
              <w:spacing w:after="20"/>
            </w:pPr>
            <w:r>
              <w:rPr>
                <w:rFonts w:ascii="Arial" w:hAnsi="Arial"/>
                <w:sz w:val="15"/>
              </w:rPr>
              <w:t>• Mobilisation concrète des chefs de pôle autour d'objectifs chiffrés et partagés.</w:t>
            </w:r>
          </w:p>
        </w:tc>
        <w:tc>
          <w:tcPr>
            <w:tcW w:type="dxa" w:w="5256"/>
            <w:tcW w:w="5100" w:type="dxa"/>
            <w:shd w:fill="FDFBF7"/>
            <w:tcMar>
              <w:top w:w="50" w:type="dxa"/>
              <w:bottom w:w="60" w:type="dxa"/>
              <w:left w:w="120" w:type="dxa"/>
              <w:right w:w="120" w:type="dxa"/>
            </w:tcMar>
            <w:tcBorders>
              <w:top w:val="single" w:sz="4" w:space="0" w:color="C5A065"/>
              <w:left w:val="single" w:sz="4" w:space="0" w:color="E2DCCC"/>
              <w:bottom w:val="single" w:sz="6" w:space="0" w:color="C5A065"/>
              <w:right w:val="single" w:sz="6" w:space="0" w:color="C5A065"/>
              <w:insideH w:val="none"/>
              <w:insideV w:val="none"/>
            </w:tcBorders>
          </w:tcPr>
          <w:p>
            <w:pPr>
              <w:spacing w:after="40"/>
            </w:pPr>
            <w:r>
              <w:rPr>
                <w:rFonts w:ascii="Georgia" w:hAnsi="Georgia"/>
                <w:b/>
                <w:color w:val="B71C1C"/>
                <w:sz w:val="16"/>
              </w:rPr>
              <w:t>Ce que vous risquez sans cet outil :</w:t>
              <w:br/>
            </w:r>
          </w:p>
          <w:p>
            <w:pPr>
              <w:spacing w:after="20"/>
            </w:pPr>
            <w:r>
              <w:rPr>
                <w:rFonts w:ascii="Arial" w:hAnsi="Arial"/>
                <w:sz w:val="15"/>
              </w:rPr>
              <w:t>• Découvrir un trou de trésorerie ou une érosion des marges 6 mois trop tard lors du bilan comptable.</w:t>
            </w:r>
          </w:p>
          <w:p>
            <w:pPr>
              <w:spacing w:after="20"/>
            </w:pPr>
            <w:r>
              <w:rPr>
                <w:rFonts w:ascii="Arial" w:hAnsi="Arial"/>
                <w:sz w:val="15"/>
              </w:rPr>
              <w:t>• Accumulation silencieuse des retards d'atelier générant des pénalités financières et litiges clients.</w:t>
            </w:r>
          </w:p>
          <w:p>
            <w:pPr>
              <w:spacing w:after="20"/>
            </w:pPr>
            <w:r>
              <w:rPr>
                <w:rFonts w:ascii="Arial" w:hAnsi="Arial"/>
                <w:sz w:val="15"/>
              </w:rPr>
              <w:t>• Non-conformité majeure d'audit ISO 9001 par défaut de surveillance et de revue de direction.</w:t>
            </w:r>
          </w:p>
          <w:p>
            <w:pPr>
              <w:spacing w:after="20"/>
            </w:pPr>
            <w:r>
              <w:rPr>
                <w:rFonts w:ascii="Arial" w:hAnsi="Arial"/>
                <w:sz w:val="15"/>
              </w:rPr>
              <w:t>• Désorganisation d'atelier lors de l'absence imprévue d'un collaborateur clé non suppléé.</w:t>
            </w:r>
          </w:p>
        </w:tc>
      </w:tr>
    </w:tbl>
    <w:p>
      <w:pPr>
        <w:spacing w:after="60"/>
      </w:pPr>
    </w:p>
    <w:tbl>
      <w:tblPr>
        <w:tblW w:type="auto" w:w="0"/>
        <w:jc w:val="center"/>
        <w:tblLayout w:type="fixed"/>
        <w:tblLook w:firstColumn="1" w:firstRow="1" w:lastColumn="0" w:lastRow="0" w:noHBand="0" w:noVBand="1" w:val="04A0"/>
      </w:tblPr>
      <w:tblGrid>
        <w:gridCol w:w="10512"/>
      </w:tblGrid>
      <w:tr>
        <w:tc>
          <w:tcPr>
            <w:tcW w:type="dxa" w:w="10512"/>
            <w:tcW w:w="10200" w:type="dxa"/>
            <w:shd w:fill="FFFFFF"/>
            <w:tcMar>
              <w:top w:w="80" w:type="dxa"/>
              <w:bottom w:w="80" w:type="dxa"/>
              <w:left w:w="120" w:type="dxa"/>
              <w:right w:w="120" w:type="dxa"/>
            </w:tcMar>
            <w:tcBorders>
              <w:top w:val="single" w:sz="4" w:space="0" w:color="E2DCCC"/>
              <w:left w:val="single" w:sz="24" w:space="0" w:color="1B4D3E"/>
              <w:bottom w:val="single" w:sz="4" w:space="0" w:color="E2DCCC"/>
              <w:right w:val="single" w:sz="4" w:space="0" w:color="E2DCCC"/>
              <w:insideH w:val="none"/>
              <w:insideV w:val="none"/>
            </w:tcBorders>
          </w:tcPr>
          <w:p>
            <w:pPr>
              <w:spacing w:after="40"/>
            </w:pPr>
            <w:r>
              <w:rPr>
                <w:rFonts w:ascii="Georgia" w:hAnsi="Georgia"/>
                <w:b/>
                <w:color w:val="1B4D3E"/>
                <w:sz w:val="18"/>
              </w:rPr>
              <w:t>GUIDE D'ANIMATION CHRONO (15 MINUTES LE 1ER DU MOIS)</w:t>
              <w:br/>
            </w:r>
          </w:p>
          <w:p>
            <w:pPr>
              <w:spacing w:after="30"/>
            </w:pPr>
            <w:r>
              <w:rPr>
                <w:rFonts w:ascii="Arial" w:hAnsi="Arial"/>
                <w:b/>
                <w:color w:val="1B4D3E"/>
                <w:sz w:val="15"/>
              </w:rPr>
              <w:t xml:space="preserve">Étape 1 : </w:t>
            </w:r>
            <w:r>
              <w:rPr>
                <w:rFonts w:ascii="Arial" w:hAnsi="Arial"/>
                <w:sz w:val="15"/>
              </w:rPr>
              <w:t>Le 1er ouvré du mois à 08h30 (10 min chrono) : chaque pilote relève sa valeur réelle brute du mois M.</w:t>
            </w:r>
          </w:p>
          <w:p>
            <w:pPr>
              <w:spacing w:after="30"/>
            </w:pPr>
            <w:r>
              <w:rPr>
                <w:rFonts w:ascii="Arial" w:hAnsi="Arial"/>
                <w:b/>
                <w:color w:val="1B4D3E"/>
                <w:sz w:val="15"/>
              </w:rPr>
              <w:t xml:space="preserve">Étape 2 : </w:t>
            </w:r>
            <w:r>
              <w:rPr>
                <w:rFonts w:ascii="Arial" w:hAnsi="Arial"/>
                <w:sz w:val="15"/>
              </w:rPr>
              <w:t>Comparaison automatique avec la Cible et le Seuil d'Alerte (🟢 Conforme / 🟠 À surveiller / 🔴 Alerte).</w:t>
            </w:r>
          </w:p>
          <w:p>
            <w:pPr>
              <w:spacing w:after="30"/>
            </w:pPr>
            <w:r>
              <w:rPr>
                <w:rFonts w:ascii="Arial" w:hAnsi="Arial"/>
                <w:b/>
                <w:color w:val="1B4D3E"/>
                <w:sz w:val="15"/>
              </w:rPr>
              <w:t xml:space="preserve">Étape 3 : </w:t>
            </w:r>
            <w:r>
              <w:rPr>
                <w:rFonts w:ascii="Arial" w:hAnsi="Arial"/>
                <w:sz w:val="15"/>
              </w:rPr>
              <w:t>Si Alerte Rouge : le pilote apporte immédiatement une proposition d'arbitrage concrète (Qui, Quoi, Quand).</w:t>
            </w:r>
          </w:p>
          <w:p>
            <w:pPr>
              <w:spacing w:after="30"/>
            </w:pPr>
            <w:r>
              <w:rPr>
                <w:rFonts w:ascii="Arial" w:hAnsi="Arial"/>
                <w:b/>
                <w:color w:val="1B4D3E"/>
                <w:sz w:val="15"/>
              </w:rPr>
              <w:t xml:space="preserve">Étape 4 : </w:t>
            </w:r>
            <w:r>
              <w:rPr>
                <w:rFonts w:ascii="Arial" w:hAnsi="Arial"/>
                <w:sz w:val="15"/>
              </w:rPr>
              <w:t>Le Dirigeant arbitre en 5 min, alloue les moyens nécessaires et signe le registre de revue mensuelle (§9.3).</w:t>
            </w:r>
          </w:p>
        </w:tc>
      </w:tr>
    </w:tbl>
    <w:p>
      <w:pPr>
        <w:spacing w:after="60"/>
      </w:pPr>
    </w:p>
    <w:p>
      <w:r>
        <w:br w:type="page"/>
      </w:r>
    </w:p>
    <w:tbl>
      <w:tblPr>
        <w:tblW w:type="auto" w:w="0"/>
        <w:jc w:val="center"/>
        <w:tblLayout w:type="fixed"/>
        <w:tblLook w:firstColumn="1" w:firstRow="1" w:lastColumn="0" w:lastRow="0" w:noHBand="0" w:noVBand="1" w:val="04A0"/>
      </w:tblPr>
      <w:tblGrid>
        <w:gridCol w:w="10512"/>
      </w:tblGrid>
      <w:tr>
        <w:tc>
          <w:tcPr>
            <w:tcW w:type="dxa" w:w="10512"/>
            <w:tcW w:w="10200" w:type="dxa"/>
            <w:shd w:fill="F7F9F8"/>
            <w:tcMar>
              <w:top w:w="60" w:type="dxa"/>
              <w:bottom w:w="60" w:type="dxa"/>
              <w:left w:w="100" w:type="dxa"/>
              <w:right w:w="100" w:type="dxa"/>
            </w:tcMar>
            <w:tcBorders>
              <w:top w:val="single" w:sz="4" w:space="0" w:color="E2DCCC"/>
              <w:left w:val="single" w:sz="20" w:space="0" w:color="1B4D3E"/>
              <w:bottom w:val="single" w:sz="4" w:space="0" w:color="E2DCCC"/>
              <w:right w:val="single" w:sz="4" w:space="0" w:color="E2DCCC"/>
              <w:insideH w:val="none"/>
              <w:insideV w:val="none"/>
            </w:tcBorders>
          </w:tcPr>
          <w:p>
            <w:pPr>
              <w:spacing w:after="0"/>
            </w:pPr>
            <w:r>
              <w:rPr>
                <w:rFonts w:ascii="Georgia" w:hAnsi="Georgia"/>
                <w:b/>
                <w:color w:val="1B4D3E"/>
                <w:sz w:val="19"/>
              </w:rPr>
              <w:t>LE TABLEAU DE BORD MENSUEL DES INDICATEURS PAR PROCESSUS</w:t>
            </w:r>
          </w:p>
        </w:tc>
      </w:tr>
    </w:tbl>
    <w:p>
      <w:pPr>
        <w:spacing w:after="40"/>
      </w:pPr>
    </w:p>
    <w:tbl>
      <w:tblPr>
        <w:tblW w:type="auto" w:w="0"/>
        <w:jc w:val="center"/>
        <w:tblLayout w:type="fixed"/>
        <w:tblLook w:firstColumn="1" w:firstRow="1" w:lastColumn="0" w:lastRow="0" w:noHBand="0" w:noVBand="1" w:val="04A0"/>
      </w:tblPr>
      <w:tblGrid>
        <w:gridCol w:w="1314"/>
        <w:gridCol w:w="1314"/>
        <w:gridCol w:w="1314"/>
        <w:gridCol w:w="1314"/>
        <w:gridCol w:w="1314"/>
        <w:gridCol w:w="1314"/>
        <w:gridCol w:w="1314"/>
        <w:gridCol w:w="1314"/>
      </w:tblGrid>
      <w:tr>
        <w:tc>
          <w:tcPr>
            <w:tcW w:type="dxa" w:w="1314"/>
            <w:tcW w:w="1100" w:type="dxa"/>
            <w:shd w:fill="1B4D3E"/>
            <w:tcMar>
              <w:top w:w="50" w:type="dxa"/>
              <w:bottom w:w="50" w:type="dxa"/>
              <w:left w:w="50" w:type="dxa"/>
              <w:right w:w="5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5"/>
              </w:rPr>
              <w:t>Processus</w:t>
            </w:r>
          </w:p>
        </w:tc>
        <w:tc>
          <w:tcPr>
            <w:tcW w:type="dxa" w:w="1314"/>
            <w:tcW w:w="1600" w:type="dxa"/>
            <w:shd w:fill="1B4D3E"/>
            <w:tcMar>
              <w:top w:w="50" w:type="dxa"/>
              <w:bottom w:w="50" w:type="dxa"/>
              <w:left w:w="50" w:type="dxa"/>
              <w:right w:w="5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5"/>
              </w:rPr>
              <w:t>Indicateur Clé (KPI)</w:t>
            </w:r>
          </w:p>
        </w:tc>
        <w:tc>
          <w:tcPr>
            <w:tcW w:type="dxa" w:w="1314"/>
            <w:tcW w:w="1800" w:type="dxa"/>
            <w:shd w:fill="1B4D3E"/>
            <w:tcMar>
              <w:top w:w="50" w:type="dxa"/>
              <w:bottom w:w="50" w:type="dxa"/>
              <w:left w:w="50" w:type="dxa"/>
              <w:right w:w="5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5"/>
              </w:rPr>
              <w:t>Formule de Calcul</w:t>
            </w:r>
          </w:p>
        </w:tc>
        <w:tc>
          <w:tcPr>
            <w:tcW w:type="dxa" w:w="1314"/>
            <w:tcW w:w="950" w:type="dxa"/>
            <w:shd w:fill="1B4D3E"/>
            <w:tcMar>
              <w:top w:w="50" w:type="dxa"/>
              <w:bottom w:w="50" w:type="dxa"/>
              <w:left w:w="50" w:type="dxa"/>
              <w:right w:w="5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5"/>
              </w:rPr>
              <w:t>Cible</w:t>
            </w:r>
          </w:p>
        </w:tc>
        <w:tc>
          <w:tcPr>
            <w:tcW w:type="dxa" w:w="1314"/>
            <w:tcW w:w="800" w:type="dxa"/>
            <w:shd w:fill="1B4D3E"/>
            <w:tcMar>
              <w:top w:w="50" w:type="dxa"/>
              <w:bottom w:w="50" w:type="dxa"/>
              <w:left w:w="50" w:type="dxa"/>
              <w:right w:w="5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5"/>
              </w:rPr>
              <w:t>Mois M-1</w:t>
            </w:r>
          </w:p>
        </w:tc>
        <w:tc>
          <w:tcPr>
            <w:tcW w:type="dxa" w:w="1314"/>
            <w:tcW w:w="800" w:type="dxa"/>
            <w:shd w:fill="1B4D3E"/>
            <w:tcMar>
              <w:top w:w="50" w:type="dxa"/>
              <w:bottom w:w="50" w:type="dxa"/>
              <w:left w:w="50" w:type="dxa"/>
              <w:right w:w="5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5"/>
              </w:rPr>
              <w:t>Mois M</w:t>
            </w:r>
          </w:p>
        </w:tc>
        <w:tc>
          <w:tcPr>
            <w:tcW w:type="dxa" w:w="1314"/>
            <w:tcW w:w="950" w:type="dxa"/>
            <w:shd w:fill="1B4D3E"/>
            <w:tcMar>
              <w:top w:w="50" w:type="dxa"/>
              <w:bottom w:w="50" w:type="dxa"/>
              <w:left w:w="50" w:type="dxa"/>
              <w:right w:w="5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5"/>
              </w:rPr>
              <w:t>Statut</w:t>
            </w:r>
          </w:p>
        </w:tc>
        <w:tc>
          <w:tcPr>
            <w:tcW w:type="dxa" w:w="1314"/>
            <w:tcW w:w="2200" w:type="dxa"/>
            <w:shd w:fill="1B4D3E"/>
            <w:tcMar>
              <w:top w:w="50" w:type="dxa"/>
              <w:bottom w:w="50" w:type="dxa"/>
              <w:left w:w="50" w:type="dxa"/>
              <w:right w:w="5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5"/>
              </w:rPr>
              <w:t>Plan d'Action Correctif (§10.2)</w:t>
            </w:r>
          </w:p>
        </w:tc>
      </w:tr>
      <w:tr>
        <w:tc>
          <w:tcPr>
            <w:tcW w:type="dxa" w:w="1314"/>
            <w:tcW w:w="11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P1 Direction</w:t>
            </w:r>
          </w:p>
        </w:tc>
        <w:tc>
          <w:tcPr>
            <w:tcW w:type="dxa" w:w="1314"/>
            <w:tcW w:w="16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Chiffre d'Affaires Mensuel (€)</w:t>
            </w:r>
          </w:p>
        </w:tc>
        <w:tc>
          <w:tcPr>
            <w:tcW w:type="dxa" w:w="1314"/>
            <w:tcW w:w="1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Somme des factures nettes émises HT</w:t>
            </w:r>
          </w:p>
        </w:tc>
        <w:tc>
          <w:tcPr>
            <w:tcW w:type="dxa" w:w="1314"/>
            <w:tcW w:w="95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 125 000 €</w:t>
            </w:r>
          </w:p>
        </w:tc>
        <w:tc>
          <w:tcPr>
            <w:tcW w:type="dxa" w:w="1314"/>
            <w:tcW w:w="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120 000 €</w:t>
            </w:r>
          </w:p>
        </w:tc>
        <w:tc>
          <w:tcPr>
            <w:tcW w:type="dxa" w:w="1314"/>
            <w:tcW w:w="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132 500 €</w:t>
            </w:r>
          </w:p>
        </w:tc>
        <w:tc>
          <w:tcPr>
            <w:tcW w:type="dxa" w:w="1314"/>
            <w:tcW w:w="95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1B5E20"/>
                <w:sz w:val="14"/>
              </w:rPr>
              <w:t>🟢 Conforme</w:t>
            </w:r>
          </w:p>
        </w:tc>
        <w:tc>
          <w:tcPr>
            <w:tcW w:type="dxa" w:w="1314"/>
            <w:tcW w:w="22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Objectif dépassé. Maintenir le carnet de commandes.</w:t>
            </w:r>
          </w:p>
        </w:tc>
      </w:tr>
      <w:tr>
        <w:tc>
          <w:tcPr>
            <w:tcW w:type="dxa" w:w="1314"/>
            <w:tcW w:w="11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P1 Direction</w:t>
            </w:r>
          </w:p>
        </w:tc>
        <w:tc>
          <w:tcPr>
            <w:tcW w:type="dxa" w:w="1314"/>
            <w:tcW w:w="16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Marge Brute Globale (%)</w:t>
            </w:r>
          </w:p>
        </w:tc>
        <w:tc>
          <w:tcPr>
            <w:tcW w:type="dxa" w:w="1314"/>
            <w:tcW w:w="1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(CA HT - Coûts achats directs) / CA</w:t>
            </w:r>
          </w:p>
        </w:tc>
        <w:tc>
          <w:tcPr>
            <w:tcW w:type="dxa" w:w="1314"/>
            <w:tcW w:w="95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 42.0 %</w:t>
            </w:r>
          </w:p>
        </w:tc>
        <w:tc>
          <w:tcPr>
            <w:tcW w:type="dxa" w:w="1314"/>
            <w:tcW w:w="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41.2 %</w:t>
            </w:r>
          </w:p>
        </w:tc>
        <w:tc>
          <w:tcPr>
            <w:tcW w:type="dxa" w:w="1314"/>
            <w:tcW w:w="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38.5 %</w:t>
            </w:r>
          </w:p>
        </w:tc>
        <w:tc>
          <w:tcPr>
            <w:tcW w:type="dxa" w:w="1314"/>
            <w:tcW w:w="95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B71C1C"/>
                <w:sz w:val="14"/>
              </w:rPr>
              <w:t>🔴 Alerte</w:t>
            </w:r>
          </w:p>
        </w:tc>
        <w:tc>
          <w:tcPr>
            <w:tcW w:type="dxa" w:w="1314"/>
            <w:tcW w:w="22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Audit express chiffrage devis + renégociation achat acier.</w:t>
            </w:r>
          </w:p>
        </w:tc>
      </w:tr>
      <w:tr>
        <w:tc>
          <w:tcPr>
            <w:tcW w:type="dxa" w:w="1314"/>
            <w:tcW w:w="11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P1 Direction</w:t>
            </w:r>
          </w:p>
        </w:tc>
        <w:tc>
          <w:tcPr>
            <w:tcW w:type="dxa" w:w="1314"/>
            <w:tcW w:w="16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Solde Bancaire Disponible (€)</w:t>
            </w:r>
          </w:p>
        </w:tc>
        <w:tc>
          <w:tcPr>
            <w:tcW w:type="dxa" w:w="1314"/>
            <w:tcW w:w="1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Solde net consolidé comptes courants</w:t>
            </w:r>
          </w:p>
        </w:tc>
        <w:tc>
          <w:tcPr>
            <w:tcW w:type="dxa" w:w="1314"/>
            <w:tcW w:w="95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 50 000 €</w:t>
            </w:r>
          </w:p>
        </w:tc>
        <w:tc>
          <w:tcPr>
            <w:tcW w:type="dxa" w:w="1314"/>
            <w:tcW w:w="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58 000 €</w:t>
            </w:r>
          </w:p>
        </w:tc>
        <w:tc>
          <w:tcPr>
            <w:tcW w:type="dxa" w:w="1314"/>
            <w:tcW w:w="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64 200 €</w:t>
            </w:r>
          </w:p>
        </w:tc>
        <w:tc>
          <w:tcPr>
            <w:tcW w:type="dxa" w:w="1314"/>
            <w:tcW w:w="95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1B5E20"/>
                <w:sz w:val="14"/>
              </w:rPr>
              <w:t>🟢 Conforme</w:t>
            </w:r>
          </w:p>
        </w:tc>
        <w:tc>
          <w:tcPr>
            <w:tcW w:type="dxa" w:w="1314"/>
            <w:tcW w:w="22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Trésorerie saine (45j de charges fixes sécurisées).</w:t>
            </w:r>
          </w:p>
        </w:tc>
      </w:tr>
      <w:tr>
        <w:tc>
          <w:tcPr>
            <w:tcW w:type="dxa" w:w="1314"/>
            <w:tcW w:w="11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P2 Commercial</w:t>
            </w:r>
          </w:p>
        </w:tc>
        <w:tc>
          <w:tcPr>
            <w:tcW w:type="dxa" w:w="1314"/>
            <w:tcW w:w="16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Taux de Transformation Devis (%)</w:t>
            </w:r>
          </w:p>
        </w:tc>
        <w:tc>
          <w:tcPr>
            <w:tcW w:type="dxa" w:w="1314"/>
            <w:tcW w:w="1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(Devis signés / Devis émis) × 100</w:t>
            </w:r>
          </w:p>
        </w:tc>
        <w:tc>
          <w:tcPr>
            <w:tcW w:type="dxa" w:w="1314"/>
            <w:tcW w:w="95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 35.0 %</w:t>
            </w:r>
          </w:p>
        </w:tc>
        <w:tc>
          <w:tcPr>
            <w:tcW w:type="dxa" w:w="1314"/>
            <w:tcW w:w="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32.0 %</w:t>
            </w:r>
          </w:p>
        </w:tc>
        <w:tc>
          <w:tcPr>
            <w:tcW w:type="dxa" w:w="1314"/>
            <w:tcW w:w="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37.5 %</w:t>
            </w:r>
          </w:p>
        </w:tc>
        <w:tc>
          <w:tcPr>
            <w:tcW w:type="dxa" w:w="1314"/>
            <w:tcW w:w="95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1B5E20"/>
                <w:sz w:val="14"/>
              </w:rPr>
              <w:t>🟢 Conforme</w:t>
            </w:r>
          </w:p>
        </w:tc>
        <w:tc>
          <w:tcPr>
            <w:tcW w:type="dxa" w:w="1314"/>
            <w:tcW w:w="22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Campagne de relance systématique à J+5 efficace.</w:t>
            </w:r>
          </w:p>
        </w:tc>
      </w:tr>
      <w:tr>
        <w:tc>
          <w:tcPr>
            <w:tcW w:type="dxa" w:w="1314"/>
            <w:tcW w:w="11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P2 Commercial</w:t>
            </w:r>
          </w:p>
        </w:tc>
        <w:tc>
          <w:tcPr>
            <w:tcW w:type="dxa" w:w="1314"/>
            <w:tcW w:w="16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Encours Devis en Souffrance &gt; 7j</w:t>
            </w:r>
          </w:p>
        </w:tc>
        <w:tc>
          <w:tcPr>
            <w:tcW w:type="dxa" w:w="1314"/>
            <w:tcW w:w="1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Somme des devis sans réponse client</w:t>
            </w:r>
          </w:p>
        </w:tc>
        <w:tc>
          <w:tcPr>
            <w:tcW w:type="dxa" w:w="1314"/>
            <w:tcW w:w="95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 30 000 €</w:t>
            </w:r>
          </w:p>
        </w:tc>
        <w:tc>
          <w:tcPr>
            <w:tcW w:type="dxa" w:w="1314"/>
            <w:tcW w:w="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42 000 €</w:t>
            </w:r>
          </w:p>
        </w:tc>
        <w:tc>
          <w:tcPr>
            <w:tcW w:type="dxa" w:w="1314"/>
            <w:tcW w:w="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24 500 €</w:t>
            </w:r>
          </w:p>
        </w:tc>
        <w:tc>
          <w:tcPr>
            <w:tcW w:type="dxa" w:w="1314"/>
            <w:tcW w:w="95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1B5E20"/>
                <w:sz w:val="14"/>
              </w:rPr>
              <w:t>🟢 Conforme</w:t>
            </w:r>
          </w:p>
        </w:tc>
        <w:tc>
          <w:tcPr>
            <w:tcW w:type="dxa" w:w="1314"/>
            <w:tcW w:w="22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Radar des relances épuré chaque mardi matin.</w:t>
            </w:r>
          </w:p>
        </w:tc>
      </w:tr>
      <w:tr>
        <w:tc>
          <w:tcPr>
            <w:tcW w:type="dxa" w:w="1314"/>
            <w:tcW w:w="11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P3 Atelier/Prod</w:t>
            </w:r>
          </w:p>
        </w:tc>
        <w:tc>
          <w:tcPr>
            <w:tcW w:type="dxa" w:w="1314"/>
            <w:tcW w:w="16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Taux de Respect Délais OTD (%)</w:t>
            </w:r>
          </w:p>
        </w:tc>
        <w:tc>
          <w:tcPr>
            <w:tcW w:type="dxa" w:w="1314"/>
            <w:tcW w:w="1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(Livraisons à date / Livraisons tot.) × 100</w:t>
            </w:r>
          </w:p>
        </w:tc>
        <w:tc>
          <w:tcPr>
            <w:tcW w:type="dxa" w:w="1314"/>
            <w:tcW w:w="95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 95.0 %</w:t>
            </w:r>
          </w:p>
        </w:tc>
        <w:tc>
          <w:tcPr>
            <w:tcW w:type="dxa" w:w="1314"/>
            <w:tcW w:w="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91.5 %</w:t>
            </w:r>
          </w:p>
        </w:tc>
        <w:tc>
          <w:tcPr>
            <w:tcW w:type="dxa" w:w="1314"/>
            <w:tcW w:w="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96.2 %</w:t>
            </w:r>
          </w:p>
        </w:tc>
        <w:tc>
          <w:tcPr>
            <w:tcW w:type="dxa" w:w="1314"/>
            <w:tcW w:w="95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1B5E20"/>
                <w:sz w:val="14"/>
              </w:rPr>
              <w:t>🟢 Conforme</w:t>
            </w:r>
          </w:p>
        </w:tc>
        <w:tc>
          <w:tcPr>
            <w:tcW w:type="dxa" w:w="1314"/>
            <w:tcW w:w="22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Dégoulottage poste découpe réussi.</w:t>
            </w:r>
          </w:p>
        </w:tc>
      </w:tr>
      <w:tr>
        <w:tc>
          <w:tcPr>
            <w:tcW w:type="dxa" w:w="1314"/>
            <w:tcW w:w="11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P3 Atelier/Prod</w:t>
            </w:r>
          </w:p>
        </w:tc>
        <w:tc>
          <w:tcPr>
            <w:tcW w:type="dxa" w:w="1314"/>
            <w:tcW w:w="16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Coût Rebuts &amp; Retouches (€)</w:t>
            </w:r>
          </w:p>
        </w:tc>
        <w:tc>
          <w:tcPr>
            <w:tcW w:type="dxa" w:w="1314"/>
            <w:tcW w:w="1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Coût pièces jetées + heures retouches</w:t>
            </w:r>
          </w:p>
        </w:tc>
        <w:tc>
          <w:tcPr>
            <w:tcW w:type="dxa" w:w="1314"/>
            <w:tcW w:w="95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 1 500 €</w:t>
            </w:r>
          </w:p>
        </w:tc>
        <w:tc>
          <w:tcPr>
            <w:tcW w:type="dxa" w:w="1314"/>
            <w:tcW w:w="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2 400 €</w:t>
            </w:r>
          </w:p>
        </w:tc>
        <w:tc>
          <w:tcPr>
            <w:tcW w:type="dxa" w:w="1314"/>
            <w:tcW w:w="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1 180 €</w:t>
            </w:r>
          </w:p>
        </w:tc>
        <w:tc>
          <w:tcPr>
            <w:tcW w:type="dxa" w:w="1314"/>
            <w:tcW w:w="95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1B5E20"/>
                <w:sz w:val="14"/>
              </w:rPr>
              <w:t>🟢 Conforme</w:t>
            </w:r>
          </w:p>
        </w:tc>
        <w:tc>
          <w:tcPr>
            <w:tcW w:type="dxa" w:w="1314"/>
            <w:tcW w:w="22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Borne tactile atelier : déclaration immédiate au poste.</w:t>
            </w:r>
          </w:p>
        </w:tc>
      </w:tr>
      <w:tr>
        <w:tc>
          <w:tcPr>
            <w:tcW w:type="dxa" w:w="1314"/>
            <w:tcW w:w="11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P4 RH/Social</w:t>
            </w:r>
          </w:p>
        </w:tc>
        <w:tc>
          <w:tcPr>
            <w:tcW w:type="dxa" w:w="1314"/>
            <w:tcW w:w="16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Taux d'Absentéisme Imprévu (%)</w:t>
            </w:r>
          </w:p>
        </w:tc>
        <w:tc>
          <w:tcPr>
            <w:tcW w:type="dxa" w:w="1314"/>
            <w:tcW w:w="1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Heures absences non planif. / Heures tot.</w:t>
            </w:r>
          </w:p>
        </w:tc>
        <w:tc>
          <w:tcPr>
            <w:tcW w:type="dxa" w:w="1314"/>
            <w:tcW w:w="95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 3.5 %</w:t>
            </w:r>
          </w:p>
        </w:tc>
        <w:tc>
          <w:tcPr>
            <w:tcW w:type="dxa" w:w="1314"/>
            <w:tcW w:w="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4.2 %</w:t>
            </w:r>
          </w:p>
        </w:tc>
        <w:tc>
          <w:tcPr>
            <w:tcW w:type="dxa" w:w="1314"/>
            <w:tcW w:w="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2.8 %</w:t>
            </w:r>
          </w:p>
        </w:tc>
        <w:tc>
          <w:tcPr>
            <w:tcW w:type="dxa" w:w="1314"/>
            <w:tcW w:w="95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1B5E20"/>
                <w:sz w:val="14"/>
              </w:rPr>
              <w:t>🟢 Conforme</w:t>
            </w:r>
          </w:p>
        </w:tc>
        <w:tc>
          <w:tcPr>
            <w:tcW w:type="dxa" w:w="1314"/>
            <w:tcW w:w="22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Climat serein, charge équilibrée sur le mois.</w:t>
            </w:r>
          </w:p>
        </w:tc>
      </w:tr>
      <w:tr>
        <w:tc>
          <w:tcPr>
            <w:tcW w:type="dxa" w:w="1314"/>
            <w:tcW w:w="11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P4 RH/Social</w:t>
            </w:r>
          </w:p>
        </w:tc>
        <w:tc>
          <w:tcPr>
            <w:tcW w:type="dxa" w:w="1314"/>
            <w:tcW w:w="16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Couverture Postes Clés Doublés</w:t>
            </w:r>
          </w:p>
        </w:tc>
        <w:tc>
          <w:tcPr>
            <w:tcW w:type="dxa" w:w="1314"/>
            <w:tcW w:w="1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Postes stratégiques avec suppléant prêt</w:t>
            </w:r>
          </w:p>
        </w:tc>
        <w:tc>
          <w:tcPr>
            <w:tcW w:type="dxa" w:w="1314"/>
            <w:tcW w:w="95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100 % (3/3)</w:t>
            </w:r>
          </w:p>
        </w:tc>
        <w:tc>
          <w:tcPr>
            <w:tcW w:type="dxa" w:w="1314"/>
            <w:tcW w:w="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2/3</w:t>
            </w:r>
          </w:p>
        </w:tc>
        <w:tc>
          <w:tcPr>
            <w:tcW w:type="dxa" w:w="1314"/>
            <w:tcW w:w="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3/3</w:t>
            </w:r>
          </w:p>
        </w:tc>
        <w:tc>
          <w:tcPr>
            <w:tcW w:type="dxa" w:w="1314"/>
            <w:tcW w:w="95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1B5E20"/>
                <w:sz w:val="14"/>
              </w:rPr>
              <w:t>🟢 Conforme</w:t>
            </w:r>
          </w:p>
        </w:tc>
        <w:tc>
          <w:tcPr>
            <w:tcW w:type="dxa" w:w="1314"/>
            <w:tcW w:w="22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Suppléance opérationnelle Découpe &amp; Soudure.</w:t>
            </w:r>
          </w:p>
        </w:tc>
      </w:tr>
      <w:tr>
        <w:tc>
          <w:tcPr>
            <w:tcW w:type="dxa" w:w="1314"/>
            <w:tcW w:w="11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P5 Qualité/QSE</w:t>
            </w:r>
          </w:p>
        </w:tc>
        <w:tc>
          <w:tcPr>
            <w:tcW w:type="dxa" w:w="1314"/>
            <w:tcW w:w="16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Coût Total Non-Qualité CNQ (€)</w:t>
            </w:r>
          </w:p>
        </w:tc>
        <w:tc>
          <w:tcPr>
            <w:tcW w:type="dxa" w:w="1314"/>
            <w:tcW w:w="1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Rebuts + retouches + litiges + pénalités</w:t>
            </w:r>
          </w:p>
        </w:tc>
        <w:tc>
          <w:tcPr>
            <w:tcW w:type="dxa" w:w="1314"/>
            <w:tcW w:w="95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 2 500 €</w:t>
            </w:r>
          </w:p>
        </w:tc>
        <w:tc>
          <w:tcPr>
            <w:tcW w:type="dxa" w:w="1314"/>
            <w:tcW w:w="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3 800 €</w:t>
            </w:r>
          </w:p>
        </w:tc>
        <w:tc>
          <w:tcPr>
            <w:tcW w:type="dxa" w:w="1314"/>
            <w:tcW w:w="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2 100 €</w:t>
            </w:r>
          </w:p>
        </w:tc>
        <w:tc>
          <w:tcPr>
            <w:tcW w:type="dxa" w:w="1314"/>
            <w:tcW w:w="95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1B5E20"/>
                <w:sz w:val="14"/>
              </w:rPr>
              <w:t>🟢 Conforme</w:t>
            </w:r>
          </w:p>
        </w:tc>
        <w:tc>
          <w:tcPr>
            <w:tcW w:type="dxa" w:w="1314"/>
            <w:tcW w:w="22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Débit d'office fournisseur appliqué (Outil 3.1).</w:t>
            </w:r>
          </w:p>
        </w:tc>
      </w:tr>
      <w:tr>
        <w:tc>
          <w:tcPr>
            <w:tcW w:type="dxa" w:w="1314"/>
            <w:tcW w:w="11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P5 Qualité/QSE</w:t>
            </w:r>
          </w:p>
        </w:tc>
        <w:tc>
          <w:tcPr>
            <w:tcW w:type="dxa" w:w="1314"/>
            <w:tcW w:w="16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Clôture Réclamations Client &lt; 48h</w:t>
            </w:r>
          </w:p>
        </w:tc>
        <w:tc>
          <w:tcPr>
            <w:tcW w:type="dxa" w:w="1314"/>
            <w:tcW w:w="1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Délai moyen de réponse curative client</w:t>
            </w:r>
          </w:p>
        </w:tc>
        <w:tc>
          <w:tcPr>
            <w:tcW w:type="dxa" w:w="1314"/>
            <w:tcW w:w="95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 48 heures</w:t>
            </w:r>
          </w:p>
        </w:tc>
        <w:tc>
          <w:tcPr>
            <w:tcW w:type="dxa" w:w="1314"/>
            <w:tcW w:w="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72 h</w:t>
            </w:r>
          </w:p>
        </w:tc>
        <w:tc>
          <w:tcPr>
            <w:tcW w:type="dxa" w:w="1314"/>
            <w:tcW w:w="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36 heures</w:t>
            </w:r>
          </w:p>
        </w:tc>
        <w:tc>
          <w:tcPr>
            <w:tcW w:type="dxa" w:w="1314"/>
            <w:tcW w:w="95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1B5E20"/>
                <w:sz w:val="14"/>
              </w:rPr>
              <w:t>🟢 Conforme</w:t>
            </w:r>
          </w:p>
        </w:tc>
        <w:tc>
          <w:tcPr>
            <w:tcW w:type="dxa" w:w="1314"/>
            <w:tcW w:w="22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Fiche réflexe litige 48h systématique (Outil 2.3).</w:t>
            </w:r>
          </w:p>
        </w:tc>
      </w:tr>
      <w:tr>
        <w:tc>
          <w:tcPr>
            <w:tcW w:type="dxa" w:w="1314"/>
            <w:tcW w:w="11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i/>
                <w:color w:val="C5A065"/>
                <w:sz w:val="14"/>
              </w:rPr>
              <w:t>[Votre Processus]</w:t>
            </w:r>
          </w:p>
        </w:tc>
        <w:tc>
          <w:tcPr>
            <w:tcW w:type="dxa" w:w="1314"/>
            <w:tcW w:w="16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i/>
                <w:color w:val="C5A065"/>
                <w:sz w:val="14"/>
              </w:rPr>
              <w:t>[Indicateur Personnalisé]</w:t>
            </w:r>
          </w:p>
        </w:tc>
        <w:tc>
          <w:tcPr>
            <w:tcW w:type="dxa" w:w="1314"/>
            <w:tcW w:w="1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i/>
                <w:color w:val="C5A065"/>
                <w:sz w:val="14"/>
              </w:rPr>
              <w:t>[Formule de calcul]</w:t>
            </w:r>
          </w:p>
        </w:tc>
        <w:tc>
          <w:tcPr>
            <w:tcW w:type="dxa" w:w="1314"/>
            <w:tcW w:w="95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i/>
                <w:color w:val="C5A065"/>
                <w:sz w:val="14"/>
              </w:rPr>
              <w:t>[Cible]</w:t>
            </w:r>
          </w:p>
        </w:tc>
        <w:tc>
          <w:tcPr>
            <w:tcW w:type="dxa" w:w="1314"/>
            <w:tcW w:w="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i/>
                <w:color w:val="C5A065"/>
                <w:sz w:val="14"/>
              </w:rPr>
              <w:t>[M-1]</w:t>
            </w:r>
          </w:p>
        </w:tc>
        <w:tc>
          <w:tcPr>
            <w:tcW w:type="dxa" w:w="1314"/>
            <w:tcW w:w="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i/>
                <w:color w:val="C5A065"/>
                <w:sz w:val="14"/>
              </w:rPr>
              <w:t>[M]</w:t>
            </w:r>
          </w:p>
        </w:tc>
        <w:tc>
          <w:tcPr>
            <w:tcW w:type="dxa" w:w="1314"/>
            <w:tcW w:w="95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B71C1C"/>
                <w:sz w:val="14"/>
              </w:rPr>
              <w:t>🟢 / 🔴</w:t>
            </w:r>
          </w:p>
        </w:tc>
        <w:tc>
          <w:tcPr>
            <w:tcW w:type="dxa" w:w="1314"/>
            <w:tcW w:w="22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i/>
                <w:color w:val="C5A065"/>
                <w:sz w:val="14"/>
              </w:rPr>
              <w:t>[Action corrective d'urgence]</w:t>
            </w:r>
          </w:p>
        </w:tc>
      </w:tr>
    </w:tbl>
    <w:p>
      <w:pPr>
        <w:spacing w:after="60"/>
      </w:pPr>
    </w:p>
    <w:tbl>
      <w:tblPr>
        <w:tblW w:type="auto" w:w="0"/>
        <w:jc w:val="center"/>
        <w:tblLayout w:type="fixed"/>
        <w:tblLook w:firstColumn="1" w:firstRow="1" w:lastColumn="0" w:lastRow="0" w:noHBand="0" w:noVBand="1" w:val="04A0"/>
      </w:tblPr>
      <w:tblGrid>
        <w:gridCol w:w="10512"/>
      </w:tblGrid>
      <w:tr>
        <w:tc>
          <w:tcPr>
            <w:tcW w:type="dxa" w:w="10512"/>
            <w:tcW w:w="10200" w:type="dxa"/>
            <w:shd w:fill="F7F9F8"/>
            <w:tcMar>
              <w:top w:w="60" w:type="dxa"/>
              <w:bottom w:w="60" w:type="dxa"/>
              <w:left w:w="100" w:type="dxa"/>
              <w:right w:w="100" w:type="dxa"/>
            </w:tcMar>
            <w:tcBorders>
              <w:top w:val="single" w:sz="4" w:space="0" w:color="E2DCCC"/>
              <w:left w:val="single" w:sz="20" w:space="0" w:color="1B4D3E"/>
              <w:bottom w:val="single" w:sz="4" w:space="0" w:color="E2DCCC"/>
              <w:right w:val="single" w:sz="4" w:space="0" w:color="E2DCCC"/>
              <w:insideH w:val="none"/>
              <w:insideV w:val="none"/>
            </w:tcBorders>
          </w:tcPr>
          <w:p>
            <w:pPr>
              <w:spacing w:after="0"/>
            </w:pPr>
            <w:r>
              <w:rPr>
                <w:rFonts w:ascii="Georgia" w:hAnsi="Georgia"/>
                <w:b/>
                <w:color w:val="1B4D3E"/>
                <w:sz w:val="19"/>
              </w:rPr>
              <w:t>REGISTRE D'ARBITRAGE DE DIRECTION &amp; REVUE DES PROCESSUS (ISO 9001:2015 §9.3)</w:t>
            </w:r>
          </w:p>
        </w:tc>
      </w:tr>
    </w:tbl>
    <w:p>
      <w:pPr>
        <w:spacing w:after="40"/>
      </w:pPr>
    </w:p>
    <w:tbl>
      <w:tblPr>
        <w:tblW w:type="auto" w:w="0"/>
        <w:jc w:val="center"/>
        <w:tblLayout w:type="fixed"/>
        <w:tblLook w:firstColumn="1" w:firstRow="1" w:lastColumn="0" w:lastRow="0" w:noHBand="0" w:noVBand="1" w:val="04A0"/>
      </w:tblPr>
      <w:tblGrid>
        <w:gridCol w:w="5256"/>
        <w:gridCol w:w="5256"/>
      </w:tblGrid>
      <w:tr>
        <w:tc>
          <w:tcPr>
            <w:tcW w:type="dxa" w:w="5256"/>
            <w:tcW w:w="2800" w:type="dxa"/>
            <w:shd w:fill="1B4D3E"/>
            <w:tcMar>
              <w:top w:w="50" w:type="dxa"/>
              <w:bottom w:w="50" w:type="dxa"/>
              <w:left w:w="50" w:type="dxa"/>
              <w:right w:w="5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5"/>
              </w:rPr>
              <w:t>Paramètre de Revue</w:t>
            </w:r>
          </w:p>
        </w:tc>
        <w:tc>
          <w:tcPr>
            <w:tcW w:type="dxa" w:w="5256"/>
            <w:tcW w:w="7400" w:type="dxa"/>
            <w:shd w:fill="1B4D3E"/>
            <w:tcMar>
              <w:top w:w="50" w:type="dxa"/>
              <w:bottom w:w="50" w:type="dxa"/>
              <w:left w:w="50" w:type="dxa"/>
              <w:right w:w="5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5"/>
              </w:rPr>
              <w:t>Décision et Arbitrage Ferme de la Direction Générale</w:t>
            </w:r>
          </w:p>
        </w:tc>
      </w:tr>
      <w:tr>
        <w:tc>
          <w:tcPr>
            <w:tcW w:type="dxa" w:w="5256"/>
            <w:tcW w:w="2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Date de la Revue &amp; Lieu</w:t>
            </w:r>
          </w:p>
        </w:tc>
        <w:tc>
          <w:tcPr>
            <w:tcW w:type="dxa" w:w="5256"/>
            <w:tcW w:w="74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17/09/2026 à 08h30 • Salle de Direction / Visioconférence</w:t>
            </w:r>
          </w:p>
        </w:tc>
      </w:tr>
      <w:tr>
        <w:tc>
          <w:tcPr>
            <w:tcW w:type="dxa" w:w="5256"/>
            <w:tcW w:w="2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Participants Présents</w:t>
            </w:r>
          </w:p>
        </w:tc>
        <w:tc>
          <w:tcPr>
            <w:tcW w:type="dxa" w:w="5256"/>
            <w:tcW w:w="74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Dirigeant (DG), Responsable Commercial, Chef d'Atelier, Responsable Qualité / RH</w:t>
            </w:r>
          </w:p>
        </w:tc>
      </w:tr>
      <w:tr>
        <w:tc>
          <w:tcPr>
            <w:tcW w:type="dxa" w:w="5256"/>
            <w:tcW w:w="2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Constat / Dérive Analysée</w:t>
            </w:r>
          </w:p>
        </w:tc>
        <w:tc>
          <w:tcPr>
            <w:tcW w:type="dxa" w:w="5256"/>
            <w:tcW w:w="74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Marge brute réelle à 38.5% (Cible 42%) due aux hausses matière non répercutées sur devis.</w:t>
            </w:r>
          </w:p>
        </w:tc>
      </w:tr>
      <w:tr>
        <w:tc>
          <w:tcPr>
            <w:tcW w:type="dxa" w:w="5256"/>
            <w:tcW w:w="2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Arbitrage Ferme de la Direction</w:t>
            </w:r>
          </w:p>
        </w:tc>
        <w:tc>
          <w:tcPr>
            <w:tcW w:type="dxa" w:w="5256"/>
            <w:tcW w:w="74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Blocage immédiat des devis avec marge brute &lt; 38% + renégociation achat acier sous 8 jours.</w:t>
            </w:r>
          </w:p>
        </w:tc>
      </w:tr>
      <w:tr>
        <w:tc>
          <w:tcPr>
            <w:tcW w:type="dxa" w:w="5256"/>
            <w:tcW w:w="2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Pilote Responsable &amp; Échéance</w:t>
            </w:r>
          </w:p>
        </w:tc>
        <w:tc>
          <w:tcPr>
            <w:tcW w:type="dxa" w:w="5256"/>
            <w:tcW w:w="74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Directeur Commercial &amp; Responsable Achats • Clôture impérative sous 15 jours</w:t>
            </w:r>
          </w:p>
        </w:tc>
      </w:tr>
      <w:tr>
        <w:tc>
          <w:tcPr>
            <w:tcW w:type="dxa" w:w="5256"/>
            <w:tcW w:w="28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Moyens &amp; Ressources Alloués</w:t>
            </w:r>
          </w:p>
        </w:tc>
        <w:tc>
          <w:tcPr>
            <w:tcW w:type="dxa" w:w="5256"/>
            <w:tcW w:w="7400" w:type="dxa"/>
            <w:shd w:fill="F9F9F7"/>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4 heures d'analyse du barème tarifaire + validation expresse des nouveaux coefficients</w:t>
            </w:r>
          </w:p>
        </w:tc>
      </w:tr>
      <w:tr>
        <w:tc>
          <w:tcPr>
            <w:tcW w:type="dxa" w:w="5256"/>
            <w:tcW w:w="28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4"/>
              </w:rPr>
              <w:t>Statut de l'Action Corrective</w:t>
            </w:r>
          </w:p>
        </w:tc>
        <w:tc>
          <w:tcPr>
            <w:tcW w:type="dxa" w:w="5256"/>
            <w:tcW w:w="7400" w:type="dxa"/>
            <w:shd w:fill="FFFFFF"/>
            <w:tcMar>
              <w:top w:w="40" w:type="dxa"/>
              <w:bottom w:w="40" w:type="dxa"/>
              <w:left w:w="50" w:type="dxa"/>
              <w:right w:w="5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b/>
                <w:color w:val="1B5E20"/>
                <w:sz w:val="14"/>
              </w:rPr>
              <w:t>🟢 Action engagée et tracée dans le plan d'amélioration (§10.2)</w:t>
            </w:r>
          </w:p>
        </w:tc>
      </w:tr>
    </w:tbl>
    <w:p>
      <w:pPr>
        <w:spacing w:after="60"/>
      </w:pPr>
    </w:p>
    <w:tbl>
      <w:tblPr>
        <w:tblW w:type="auto" w:w="0"/>
        <w:jc w:val="center"/>
        <w:tblLayout w:type="fixed"/>
        <w:tblLook w:firstColumn="1" w:firstRow="1" w:lastColumn="0" w:lastRow="0" w:noHBand="0" w:noVBand="1" w:val="04A0"/>
      </w:tblPr>
      <w:tblGrid>
        <w:gridCol w:w="5256"/>
        <w:gridCol w:w="5256"/>
      </w:tblGrid>
      <w:tr>
        <w:tc>
          <w:tcPr>
            <w:tcW w:type="dxa" w:w="5256"/>
            <w:tcW w:w="5100" w:type="dxa"/>
            <w:shd w:fill="F9F9F7"/>
            <w:tcMar>
              <w:top w:w="80" w:type="dxa"/>
              <w:bottom w:w="80" w:type="dxa"/>
              <w:left w:w="100" w:type="dxa"/>
              <w:right w:w="100" w:type="dxa"/>
            </w:tcMar>
            <w:tcBorders>
              <w:top w:val="single" w:sz="4" w:space="0" w:color="E2DCCC"/>
              <w:left w:val="single" w:sz="6" w:space="0" w:color="C5A065"/>
              <w:bottom w:val="single" w:sz="6" w:space="0" w:color="C5A065"/>
              <w:right w:val="single" w:sz="4" w:space="0" w:color="E2DCCC"/>
              <w:insideH w:val="none"/>
              <w:insideV w:val="none"/>
            </w:tcBorders>
          </w:tcPr>
          <w:p>
            <w:pPr>
              <w:spacing w:after="40"/>
            </w:pPr>
            <w:r>
              <w:rPr>
                <w:rFonts w:ascii="Georgia" w:hAnsi="Georgia"/>
                <w:b/>
                <w:color w:val="1B4D3E"/>
                <w:sz w:val="16"/>
              </w:rPr>
              <w:t>POUR LA DIRECTION GÉNÉRALE :</w:t>
              <w:br/>
            </w:r>
            <w:r>
              <w:rPr>
                <w:rFonts w:ascii="Arial" w:hAnsi="Arial"/>
                <w:sz w:val="15"/>
              </w:rPr>
              <w:t>Nom du Dirigeant : ___________________________</w:t>
              <w:br/>
              <w:t>Date : 17/09/2026</w:t>
              <w:br/>
              <w:t>Mention : « Bon pour arbitrage et application »</w:t>
              <w:br/>
              <w:br/>
              <w:t>Signature :</w:t>
            </w:r>
          </w:p>
        </w:tc>
        <w:tc>
          <w:tcPr>
            <w:tcW w:type="dxa" w:w="5256"/>
            <w:tcW w:w="5100" w:type="dxa"/>
            <w:shd w:fill="F9F9F7"/>
            <w:tcMar>
              <w:top w:w="80" w:type="dxa"/>
              <w:bottom w:w="80" w:type="dxa"/>
              <w:left w:w="100" w:type="dxa"/>
              <w:right w:w="100" w:type="dxa"/>
            </w:tcMar>
            <w:tcBorders>
              <w:top w:val="single" w:sz="4" w:space="0" w:color="E2DCCC"/>
              <w:left w:val="single" w:sz="4" w:space="0" w:color="E2DCCC"/>
              <w:bottom w:val="single" w:sz="6" w:space="0" w:color="C5A065"/>
              <w:right w:val="single" w:sz="6" w:space="0" w:color="C5A065"/>
              <w:insideH w:val="none"/>
              <w:insideV w:val="none"/>
            </w:tcBorders>
          </w:tcPr>
          <w:p>
            <w:pPr>
              <w:spacing w:after="40"/>
            </w:pPr>
            <w:r>
              <w:rPr>
                <w:rFonts w:ascii="Georgia" w:hAnsi="Georgia"/>
                <w:b/>
                <w:color w:val="1B4D3E"/>
                <w:sz w:val="16"/>
              </w:rPr>
              <w:t>POUR LES PILOTES DE PROCESSUS &amp; QUALITÉ :</w:t>
              <w:br/>
            </w:r>
            <w:r>
              <w:rPr>
                <w:rFonts w:ascii="Arial" w:hAnsi="Arial"/>
                <w:sz w:val="15"/>
              </w:rPr>
              <w:t>Nom du Resp. Qualité : ___________________________</w:t>
              <w:br/>
              <w:t>Date : 17/09/2026</w:t>
              <w:br/>
              <w:t>Mention : « Diffusé &amp; Enregistré GED »</w:t>
              <w:br/>
              <w:br/>
              <w:t>Signature :</w:t>
            </w:r>
          </w:p>
        </w:tc>
      </w:tr>
    </w:tbl>
    <w:p>
      <w:pPr>
        <w:spacing w:after="80"/>
      </w:pPr>
    </w:p>
    <w:tbl>
      <w:tblPr>
        <w:tblW w:type="auto" w:w="0"/>
        <w:jc w:val="center"/>
        <w:tblLayout w:type="fixed"/>
        <w:tblLook w:firstColumn="1" w:firstRow="1" w:lastColumn="0" w:lastRow="0" w:noHBand="0" w:noVBand="1" w:val="04A0"/>
      </w:tblPr>
      <w:tblGrid>
        <w:gridCol w:w="10512"/>
      </w:tblGrid>
      <w:tr>
        <w:tc>
          <w:tcPr>
            <w:tcW w:type="dxa" w:w="10512"/>
            <w:tcW w:w="10200" w:type="dxa"/>
            <w:shd w:fill="F9F9F7"/>
            <w:tcMar>
              <w:top w:w="80" w:type="dxa"/>
              <w:bottom w:w="80" w:type="dxa"/>
              <w:left w:w="120" w:type="dxa"/>
              <w:right w:w="120" w:type="dxa"/>
            </w:tcMar>
            <w:tcBorders>
              <w:top w:val="single" w:sz="4" w:space="0" w:color="C5A065"/>
              <w:left w:val="single" w:sz="24" w:space="0" w:color="1B4D3E"/>
              <w:bottom w:val="single" w:sz="4" w:space="0" w:color="C5A065"/>
              <w:right w:val="single" w:sz="4" w:space="0" w:color="C5A065"/>
              <w:insideH w:val="none"/>
              <w:insideV w:val="none"/>
            </w:tcBorders>
          </w:tcPr>
          <w:p>
            <w:pPr>
              <w:spacing w:after="40"/>
            </w:pPr>
            <w:r>
              <w:rPr>
                <w:rFonts w:ascii="Georgia" w:hAnsi="Georgia"/>
                <w:b/>
                <w:color w:val="1B4D3E"/>
                <w:sz w:val="18"/>
              </w:rPr>
              <w:t>QUE FAIRE UNE FOIS L'OUTIL COMPLÉTÉ &amp; VALIDÉ ?</w:t>
              <w:br/>
            </w:r>
          </w:p>
          <w:p>
            <w:pPr>
              <w:spacing w:after="20"/>
            </w:pPr>
            <w:r>
              <w:rPr>
                <w:rFonts w:ascii="Arial" w:hAnsi="Arial"/>
                <w:color w:val="1B4D3E"/>
                <w:sz w:val="15"/>
              </w:rPr>
              <w:t>• Archivage électronique sous GED : 01_PROCESSUS_1_DIRECTION_ET_PILOTAGE/REVUES_MENSUELLES_2026.pdf.</w:t>
            </w:r>
          </w:p>
          <w:p>
            <w:pPr>
              <w:spacing w:after="20"/>
            </w:pPr>
            <w:r>
              <w:rPr>
                <w:rFonts w:ascii="Arial" w:hAnsi="Arial"/>
                <w:color w:val="1B4D3E"/>
                <w:sz w:val="15"/>
              </w:rPr>
              <w:t>• Affichage en atelier des 2 indicateurs clés de fabrication (Respect des Délais OTD et Taux de Rebuts).</w:t>
            </w:r>
          </w:p>
          <w:p>
            <w:pPr>
              <w:spacing w:after="20"/>
            </w:pPr>
            <w:r>
              <w:rPr>
                <w:rFonts w:ascii="Arial" w:hAnsi="Arial"/>
                <w:color w:val="1B4D3E"/>
                <w:sz w:val="15"/>
              </w:rPr>
              <w:t>• Revue d'avancement intermédiaire de 15 minutes le lundi matin lors du rituel de pilotage de direction.</w:t>
            </w:r>
          </w:p>
        </w:tc>
      </w:tr>
    </w:tbl>
    <w:p>
      <w:pPr>
        <w:spacing w:after="60"/>
      </w:pPr>
    </w:p>
    <w:sectPr w:rsidR="00FC693F" w:rsidRPr="0006063C" w:rsidSect="00034616">
      <w:headerReference w:type="default" r:id="rId9"/>
      <w:footerReference w:type="default" r:id="rId10"/>
      <w:pgSz w:w="12240" w:h="15840"/>
      <w:pgMar w:top="1368" w:right="864" w:bottom="936" w:left="86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tabs>
        <w:tab w:val="right" w:pos="10512"/>
      </w:tabs>
    </w:pPr>
    <w:r/>
    <w:r>
      <w:rPr>
        <w:rFonts w:ascii="Arial" w:hAnsi="Arial"/>
        <w:i/>
        <w:color w:val="787878"/>
        <w:sz w:val="15"/>
      </w:rPr>
      <w:t>Cabinet Delacour • delacour.melchior@cabinetdelacour.com</w:t>
    </w:r>
    <w:r>
      <w:tab/>
      <w:tab/>
    </w:r>
    <w:r>
      <w:rPr>
        <w:rFonts w:ascii="Arial" w:hAnsi="Arial"/>
        <w:i/>
        <w:color w:val="787878"/>
        <w:sz w:val="15"/>
      </w:rPr>
      <w:t xml:space="preserve">Page </w:t>
    </w:r>
    <w:fldSimple w:instr="PAGE"/>
    <w:r>
      <w:rPr>
        <w:rFonts w:ascii="Arial" w:hAnsi="Arial"/>
        <w:i/>
        <w:color w:val="787878"/>
        <w:sz w:val="15"/>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6675120" cy="487680"/>
          <wp:docPr id="1" name="Picture 1"/>
          <wp:cNvGraphicFramePr>
            <a:graphicFrameLocks noChangeAspect="1"/>
          </wp:cNvGraphicFramePr>
          <a:graphic>
            <a:graphicData uri="http://schemas.openxmlformats.org/drawingml/2006/picture">
              <pic:pic>
                <pic:nvPicPr>
                  <pic:cNvPr id="0" name="header_brand_unified_hd.png"/>
                  <pic:cNvPicPr/>
                </pic:nvPicPr>
                <pic:blipFill>
                  <a:blip r:embed="rId1"/>
                  <a:stretch>
                    <a:fillRect/>
                  </a:stretch>
                </pic:blipFill>
                <pic:spPr>
                  <a:xfrm>
                    <a:off x="0" y="0"/>
                    <a:ext cx="6675120" cy="4876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