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6720840" cy="491020"/>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1"/>
                    <a:stretch>
                      <a:fillRect/>
                    </a:stretch>
                  </pic:blipFill>
                  <pic:spPr>
                    <a:xfrm>
                      <a:off x="0" y="0"/>
                      <a:ext cx="6720840" cy="491020"/>
                    </a:xfrm>
                    <a:prstGeom prst="rect"/>
                  </pic:spPr>
                </pic:pic>
              </a:graphicData>
            </a:graphic>
          </wp:inline>
        </w:drawing>
      </w:r>
    </w:p>
    <w:tbl>
      <w:tblPr>
        <w:tblW w:type="auto" w:w="0"/>
        <w:jc w:val="center"/>
        <w:tblLayout w:type="fixed"/>
        <w:tblLook w:firstColumn="1" w:firstRow="1" w:lastColumn="0" w:lastRow="0" w:noHBand="0" w:noVBand="1" w:val="04A0"/>
      </w:tblPr>
      <w:tblGrid>
        <w:gridCol w:w="10613"/>
      </w:tblGrid>
      <w:tr>
        <w:tc>
          <w:tcPr>
            <w:tcW w:type="dxa" w:w="16"/>
            <w:tcW w:w="10200" w:type="dxa"/>
            <w:shd w:fill="F9F9F7"/>
            <w:tcMar>
              <w:top w:w="40" w:type="dxa"/>
              <w:bottom w:w="40" w:type="dxa"/>
              <w:left w:w="90" w:type="dxa"/>
              <w:right w:w="90" w:type="dxa"/>
            </w:tcMar>
            <w:tcBorders>
              <w:top w:val="single" w:sz="4" w:space="0" w:color="E2DCCC"/>
              <w:left w:val="single" w:sz="24" w:space="0" w:color="C5A065"/>
              <w:bottom w:val="single" w:sz="12" w:space="0" w:color="1B4D3E"/>
              <w:right w:val="single" w:sz="4" w:space="0" w:color="E2DCCC"/>
            </w:tcBorders>
          </w:tcPr>
          <w:p>
            <w:pPr>
              <w:spacing w:after="20"/>
            </w:pPr>
            <w:r>
              <w:rPr>
                <w:rFonts w:ascii="Georgia" w:hAnsi="Georgia"/>
                <w:b/>
                <w:color w:val="C5A065"/>
                <w:sz w:val="22"/>
              </w:rPr>
              <w:t xml:space="preserve">OUTIL 2.3  •  </w:t>
            </w:r>
            <w:r>
              <w:rPr>
                <w:rFonts w:ascii="Georgia" w:hAnsi="Georgia"/>
                <w:b/>
                <w:color w:val="1B4D3E"/>
                <w:sz w:val="22"/>
              </w:rPr>
              <w:t>REGISTRE DES RÉCLAMATIONS &amp; ALERTE CONTACT 48H</w:t>
            </w:r>
            <w:r>
              <w:rPr>
                <w:rFonts w:ascii="Arial" w:hAnsi="Arial"/>
                <w:b/>
                <w:color w:val="787878"/>
                <w:sz w:val="16"/>
              </w:rPr>
              <w:t xml:space="preserve">   [Audit 2.3]</w:t>
            </w:r>
          </w:p>
          <w:p>
            <w:pPr>
              <w:spacing w:after="0"/>
            </w:pPr>
            <w:r>
              <w:rPr>
                <w:rFonts w:ascii="Arial" w:hAnsi="Arial"/>
                <w:i/>
                <w:color w:val="152822"/>
                <w:sz w:val="17"/>
              </w:rPr>
              <w:t>« Enregistrer toute réclamation, qualifier le processus d'origine et déclencher le recontact sous 48h ouvrées »</w:t>
            </w:r>
          </w:p>
        </w:tc>
      </w:tr>
    </w:tbl>
    <w:tbl>
      <w:tblPr>
        <w:tblW w:type="auto" w:w="0"/>
        <w:jc w:val="center"/>
        <w:tblLayout w:type="fixed"/>
        <w:tblLook w:firstColumn="1" w:firstRow="1" w:lastColumn="0" w:lastRow="0" w:noHBand="0" w:noVBand="1" w:val="04A0"/>
      </w:tblPr>
      <w:tblGrid>
        <w:gridCol w:w="5306"/>
        <w:gridCol w:w="5306"/>
      </w:tblGrid>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Période &amp; Responsable Suivi :</w:t>
            </w:r>
          </w:p>
        </w:tc>
        <w:tc>
          <w:tcPr>
            <w:tcW w:type="dxa" w:w="11"/>
            <w:tcW w:w="7000" w:type="dxa"/>
            <w:shd w:fill="FFFFFF"/>
            <w:tcMar>
              <w:top w:w="18" w:type="dxa"/>
              <w:bottom w:w="18" w:type="dxa"/>
              <w:left w:w="60" w:type="dxa"/>
              <w:right w:w="60" w:type="dxa"/>
            </w:tcMar>
            <w:tcBorders>
              <w:bottom w:val="single" w:sz="4" w:space="0" w:color="E2DCCC"/>
            </w:tcBorders>
          </w:tcPr>
          <w:p>
            <w:pPr>
              <w:spacing w:after="0"/>
            </w:pPr>
            <w:r>
              <w:rPr>
                <w:rFonts w:ascii="Arial" w:hAnsi="Arial"/>
                <w:color w:val="787878"/>
                <w:sz w:val="15"/>
              </w:rPr>
              <w:t>[ Année 2026 - Responsable Qualité / Relation Client : ________________ ]</w:t>
            </w:r>
          </w:p>
        </w:tc>
      </w:tr>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Engagement de Service Clé :</w:t>
            </w:r>
          </w:p>
        </w:tc>
        <w:tc>
          <w:tcPr>
            <w:tcW w:type="dxa" w:w="11"/>
            <w:tcW w:w="7000" w:type="dxa"/>
            <w:shd w:fill="F9F9F7"/>
            <w:tcMar>
              <w:top w:w="18" w:type="dxa"/>
              <w:bottom w:w="18" w:type="dxa"/>
              <w:left w:w="60" w:type="dxa"/>
              <w:right w:w="60" w:type="dxa"/>
            </w:tcMar>
            <w:tcBorders>
              <w:bottom w:val="single" w:sz="4" w:space="0" w:color="E2DCCC"/>
            </w:tcBorders>
          </w:tcPr>
          <w:p>
            <w:pPr>
              <w:spacing w:after="0"/>
            </w:pPr>
            <w:r>
              <w:rPr>
                <w:rFonts w:ascii="Arial" w:hAnsi="Arial"/>
                <w:color w:val="787878"/>
                <w:sz w:val="15"/>
              </w:rPr>
              <w:t>Accusé de réception &amp; recontact du client sous 48h ouvrées (lundi au vendredi) pour 100% des réclamations</w:t>
            </w:r>
          </w:p>
        </w:tc>
      </w:tr>
      <w:tr>
        <w:tc>
          <w:tcPr>
            <w:tcW w:type="dxa" w:w="5"/>
            <w:tcW w:w="3200" w:type="dxa"/>
            <w:shd w:fill="E8F0EC"/>
            <w:tcMar>
              <w:top w:w="18" w:type="dxa"/>
              <w:bottom w:w="18" w:type="dxa"/>
              <w:left w:w="50" w:type="dxa"/>
              <w:right w:w="50" w:type="dxa"/>
            </w:tcMar>
            <w:tcBorders>
              <w:bottom w:val="single" w:sz="4" w:space="0" w:color="E2DCCC"/>
            </w:tcBorders>
          </w:tcPr>
          <w:p>
            <w:pPr>
              <w:spacing w:after="0"/>
            </w:pPr>
            <w:r>
              <w:rPr>
                <w:rFonts w:ascii="Arial" w:hAnsi="Arial"/>
                <w:b/>
                <w:color w:val="152822"/>
                <w:sz w:val="15"/>
              </w:rPr>
              <w:t>Méthode d'Imputation Processus :</w:t>
            </w:r>
          </w:p>
        </w:tc>
        <w:tc>
          <w:tcPr>
            <w:tcW w:type="dxa" w:w="11"/>
            <w:tcW w:w="7000" w:type="dxa"/>
            <w:shd w:fill="FFFFFF"/>
            <w:tcMar>
              <w:top w:w="18" w:type="dxa"/>
              <w:bottom w:w="18" w:type="dxa"/>
              <w:left w:w="60" w:type="dxa"/>
              <w:right w:w="60" w:type="dxa"/>
            </w:tcMar>
            <w:tcBorders>
              <w:bottom w:val="single" w:sz="4" w:space="0" w:color="E2DCCC"/>
            </w:tcBorders>
          </w:tcPr>
          <w:p>
            <w:pPr>
              <w:spacing w:after="0"/>
            </w:pPr>
            <w:r>
              <w:rPr>
                <w:rFonts w:ascii="Arial" w:hAnsi="Arial"/>
                <w:color w:val="787878"/>
                <w:sz w:val="15"/>
              </w:rPr>
              <w:t>Qualification systématique du processus défaillant (P1 à P5) pour supprimer la cause racine</w:t>
            </w:r>
          </w:p>
        </w:tc>
      </w:tr>
    </w:tbl>
    <w:p>
      <w:pPr>
        <w:spacing w:before="80" w:after="40"/>
      </w:pPr>
      <w:r>
        <w:rPr>
          <w:rFonts w:ascii="Georgia" w:hAnsi="Georgia"/>
          <w:b/>
          <w:color w:val="1B4D3E"/>
          <w:sz w:val="17"/>
        </w:rPr>
        <w:t>1. REGISTRE DES RÉCLAMATIONS QUALIFIÉES PAR PROCESSUS</w:t>
      </w:r>
    </w:p>
    <w:tbl>
      <w:tblPr>
        <w:tblW w:type="auto" w:w="0"/>
        <w:jc w:val="center"/>
        <w:tblLayout w:type="fixed"/>
        <w:tblLook w:firstColumn="1" w:firstRow="1" w:lastColumn="0" w:lastRow="0" w:noHBand="0" w:noVBand="1" w:val="04A0"/>
      </w:tblPr>
      <w:tblGrid>
        <w:gridCol w:w="1769"/>
        <w:gridCol w:w="1769"/>
        <w:gridCol w:w="1769"/>
        <w:gridCol w:w="1769"/>
        <w:gridCol w:w="1769"/>
        <w:gridCol w:w="1769"/>
      </w:tblGrid>
      <w:tr>
        <w:tc>
          <w:tcPr>
            <w:tcW w:type="dxa" w:w="1"/>
            <w:tcW w:w="7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RÉF</w:t>
            </w:r>
          </w:p>
        </w:tc>
        <w:tc>
          <w:tcPr>
            <w:tcW w:type="dxa" w:w="3"/>
            <w:tcW w:w="19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DATE &amp; CLIENT</w:t>
            </w:r>
          </w:p>
        </w:tc>
        <w:tc>
          <w:tcPr>
            <w:tcW w:type="dxa" w:w="5"/>
            <w:tcW w:w="31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MOTIF FACTUEL DU GRIEF</w:t>
            </w:r>
          </w:p>
        </w:tc>
        <w:tc>
          <w:tcPr>
            <w:tcW w:type="dxa" w:w="3"/>
            <w:tcW w:w="18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PROCESSUS ORIGINE</w:t>
            </w:r>
          </w:p>
        </w:tc>
        <w:tc>
          <w:tcPr>
            <w:tcW w:type="dxa" w:w="3"/>
            <w:tcW w:w="19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ACTION IMMÉDIATE (48H)</w:t>
            </w:r>
          </w:p>
        </w:tc>
        <w:tc>
          <w:tcPr>
            <w:tcW w:type="dxa" w:w="1"/>
            <w:tcW w:w="8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STATUT</w:t>
            </w:r>
          </w:p>
        </w:tc>
      </w:tr>
      <w:tr>
        <w:tc>
          <w:tcPr>
            <w:tcW w:type="dxa" w:w="1"/>
            <w:tcW w:w="7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R-01</w:t>
            </w:r>
          </w:p>
        </w:tc>
        <w:tc>
          <w:tcPr>
            <w:tcW w:type="dxa" w:w="3"/>
            <w:tcW w:w="19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12/02 - Entreprise Alpha</w:t>
            </w:r>
          </w:p>
        </w:tc>
        <w:tc>
          <w:tcPr>
            <w:tcW w:type="dxa" w:w="5"/>
            <w:tcW w:w="31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Retard de livraison 3 jours sans prévenance</w:t>
            </w:r>
          </w:p>
        </w:tc>
        <w:tc>
          <w:tcPr>
            <w:tcW w:type="dxa" w:w="3"/>
            <w:tcW w:w="18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P3 Réalisation / Logistique</w:t>
            </w:r>
          </w:p>
        </w:tc>
        <w:tc>
          <w:tcPr>
            <w:tcW w:type="dxa" w:w="3"/>
            <w:tcW w:w="19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Appel DG + geste livraison expresse</w:t>
            </w:r>
          </w:p>
        </w:tc>
        <w:tc>
          <w:tcPr>
            <w:tcW w:type="dxa" w:w="1"/>
            <w:tcW w:w="8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SOLDE</w:t>
            </w:r>
          </w:p>
        </w:tc>
      </w:tr>
      <w:tr>
        <w:tc>
          <w:tcPr>
            <w:tcW w:type="dxa" w:w="1"/>
            <w:tcW w:w="7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R-02</w:t>
            </w:r>
          </w:p>
        </w:tc>
        <w:tc>
          <w:tcPr>
            <w:tcW w:type="dxa" w:w="3"/>
            <w:tcW w:w="19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04/03 - Client Bêta SAS</w:t>
            </w:r>
          </w:p>
        </w:tc>
        <w:tc>
          <w:tcPr>
            <w:tcW w:type="dxa" w:w="5"/>
            <w:tcW w:w="31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Défaut d'aspect peinture sur 4 pièces</w:t>
            </w:r>
          </w:p>
        </w:tc>
        <w:tc>
          <w:tcPr>
            <w:tcW w:type="dxa" w:w="3"/>
            <w:tcW w:w="18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P5 Qualité / Finition</w:t>
            </w:r>
          </w:p>
        </w:tc>
        <w:tc>
          <w:tcPr>
            <w:tcW w:type="dxa" w:w="3"/>
            <w:tcW w:w="19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Remplacement sous 24h + reprise atelier</w:t>
            </w:r>
          </w:p>
        </w:tc>
        <w:tc>
          <w:tcPr>
            <w:tcW w:type="dxa" w:w="1"/>
            <w:tcW w:w="8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SOLDE</w:t>
            </w:r>
          </w:p>
        </w:tc>
      </w:tr>
      <w:tr>
        <w:tc>
          <w:tcPr>
            <w:tcW w:type="dxa" w:w="1"/>
            <w:tcW w:w="7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R-03</w:t>
            </w:r>
          </w:p>
        </w:tc>
        <w:tc>
          <w:tcPr>
            <w:tcW w:type="dxa" w:w="3"/>
            <w:tcW w:w="19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19/03 - Société Gamma</w:t>
            </w:r>
          </w:p>
        </w:tc>
        <w:tc>
          <w:tcPr>
            <w:tcW w:type="dxa" w:w="5"/>
            <w:tcW w:w="31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Contestation montant facture vs devis</w:t>
            </w:r>
          </w:p>
        </w:tc>
        <w:tc>
          <w:tcPr>
            <w:tcW w:type="dxa" w:w="3"/>
            <w:tcW w:w="18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P2 Commercial / Devis</w:t>
            </w:r>
          </w:p>
        </w:tc>
        <w:tc>
          <w:tcPr>
            <w:tcW w:type="dxa" w:w="3"/>
            <w:tcW w:w="19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Envoi copie avenant signé par mail</w:t>
            </w:r>
          </w:p>
        </w:tc>
        <w:tc>
          <w:tcPr>
            <w:tcW w:type="dxa" w:w="1"/>
            <w:tcW w:w="8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SOLDE</w:t>
            </w:r>
          </w:p>
        </w:tc>
      </w:tr>
      <w:tr>
        <w:tc>
          <w:tcPr>
            <w:tcW w:type="dxa" w:w="1"/>
            <w:tcW w:w="7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R-04</w:t>
            </w:r>
          </w:p>
        </w:tc>
        <w:tc>
          <w:tcPr>
            <w:tcW w:type="dxa" w:w="3"/>
            <w:tcW w:w="19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08/04 - Groupe Delta</w:t>
            </w:r>
          </w:p>
        </w:tc>
        <w:tc>
          <w:tcPr>
            <w:tcW w:type="dxa" w:w="5"/>
            <w:tcW w:w="31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Cotes de perçage non conformes au plan</w:t>
            </w:r>
          </w:p>
        </w:tc>
        <w:tc>
          <w:tcPr>
            <w:tcW w:type="dxa" w:w="3"/>
            <w:tcW w:w="18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P3 Opérations / Usinage</w:t>
            </w:r>
          </w:p>
        </w:tc>
        <w:tc>
          <w:tcPr>
            <w:tcW w:type="dxa" w:w="3"/>
            <w:tcW w:w="19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Avoir partiel + correction outillage 5P</w:t>
            </w:r>
          </w:p>
        </w:tc>
        <w:tc>
          <w:tcPr>
            <w:tcW w:type="dxa" w:w="1"/>
            <w:tcW w:w="8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SOLDE</w:t>
            </w:r>
          </w:p>
        </w:tc>
      </w:tr>
    </w:tbl>
    <w:p>
      <w:pPr>
        <w:spacing w:after="60"/>
      </w:pPr>
    </w:p>
    <w:p>
      <w:pPr>
        <w:spacing w:before="80" w:after="40"/>
      </w:pPr>
      <w:r>
        <w:rPr>
          <w:rFonts w:ascii="Georgia" w:hAnsi="Georgia"/>
          <w:b/>
          <w:color w:val="1B4D3E"/>
          <w:sz w:val="17"/>
        </w:rPr>
        <w:t>2. SUIVI MENSUEL DU TAUX DE RÉCLAMATIONS &amp; PROCESSUS LE PLUS TOUCHÉ</w:t>
      </w:r>
    </w:p>
    <w:tbl>
      <w:tblPr>
        <w:tblW w:type="auto" w:w="0"/>
        <w:jc w:val="center"/>
        <w:tblLayout w:type="fixed"/>
        <w:tblLook w:firstColumn="1" w:firstRow="1" w:lastColumn="0" w:lastRow="0" w:noHBand="0" w:noVBand="1" w:val="04A0"/>
      </w:tblPr>
      <w:tblGrid>
        <w:gridCol w:w="1769"/>
        <w:gridCol w:w="1769"/>
        <w:gridCol w:w="1769"/>
        <w:gridCol w:w="1769"/>
        <w:gridCol w:w="1769"/>
        <w:gridCol w:w="1769"/>
      </w:tblGrid>
      <w:tr>
        <w:tc>
          <w:tcPr>
            <w:tcW w:type="dxa" w:w="2"/>
            <w:tcW w:w="1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MOIS</w:t>
            </w:r>
          </w:p>
        </w:tc>
        <w:tc>
          <w:tcPr>
            <w:tcW w:type="dxa" w:w="3"/>
            <w:tcW w:w="20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TOTAL AFFAIRES LIVRÉES</w:t>
            </w:r>
          </w:p>
        </w:tc>
        <w:tc>
          <w:tcPr>
            <w:tcW w:type="dxa" w:w="3"/>
            <w:tcW w:w="16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NB RÉCLAMATIONS</w:t>
            </w:r>
          </w:p>
        </w:tc>
        <w:tc>
          <w:tcPr>
            <w:tcW w:type="dxa" w:w="2"/>
            <w:tcW w:w="12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TAUX %</w:t>
            </w:r>
          </w:p>
        </w:tc>
        <w:tc>
          <w:tcPr>
            <w:tcW w:type="dxa" w:w="4"/>
            <w:tcW w:w="24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PROCESSUS N°1 EN CAUSE</w:t>
            </w:r>
          </w:p>
        </w:tc>
        <w:tc>
          <w:tcPr>
            <w:tcW w:type="dxa" w:w="3"/>
            <w:tcW w:w="1600" w:type="dxa"/>
            <w:shd w:fill="1B4D3E"/>
            <w:tcMar>
              <w:top w:w="50" w:type="dxa"/>
              <w:bottom w:w="50" w:type="dxa"/>
              <w:left w:w="60" w:type="dxa"/>
              <w:right w:w="60" w:type="dxa"/>
            </w:tcMar>
            <w:tcBorders>
              <w:top w:val="single" w:sz="4" w:space="0" w:color="1B4D3E"/>
              <w:left w:val="single" w:sz="4" w:space="0" w:color="1B4D3E"/>
              <w:bottom w:val="single" w:sz="4" w:space="0" w:color="1B4D3E"/>
              <w:right w:val="single" w:sz="4" w:space="0" w:color="1B4D3E"/>
            </w:tcBorders>
          </w:tcPr>
          <w:p>
            <w:pPr>
              <w:jc w:val="center"/>
            </w:pPr>
            <w:r>
              <w:rPr>
                <w:rFonts w:ascii="Arial" w:hAnsi="Arial"/>
                <w:b/>
                <w:color w:val="FFFFFF"/>
                <w:sz w:val="16"/>
              </w:rPr>
              <w:t>DÉLAI MOYEN</w:t>
            </w:r>
          </w:p>
        </w:tc>
      </w:tr>
      <w:tr>
        <w:tc>
          <w:tcPr>
            <w:tcW w:type="dxa" w:w="2"/>
            <w:tcW w:w="1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Janvier</w:t>
            </w:r>
          </w:p>
        </w:tc>
        <w:tc>
          <w:tcPr>
            <w:tcW w:type="dxa" w:w="3"/>
            <w:tcW w:w="20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45 affaires</w:t>
            </w:r>
          </w:p>
        </w:tc>
        <w:tc>
          <w:tcPr>
            <w:tcW w:type="dxa" w:w="3"/>
            <w:tcW w:w="16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1 réclamation</w:t>
            </w:r>
          </w:p>
        </w:tc>
        <w:tc>
          <w:tcPr>
            <w:tcW w:type="dxa" w:w="2"/>
            <w:tcW w:w="12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2,2 %</w:t>
            </w:r>
          </w:p>
        </w:tc>
        <w:tc>
          <w:tcPr>
            <w:tcW w:type="dxa" w:w="4"/>
            <w:tcW w:w="24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P3 Réalisation (Délais)</w:t>
            </w:r>
          </w:p>
        </w:tc>
        <w:tc>
          <w:tcPr>
            <w:tcW w:type="dxa" w:w="3"/>
            <w:tcW w:w="1600" w:type="dxa"/>
            <w:shd w:fill="FFFFFF"/>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24 heures</w:t>
            </w:r>
          </w:p>
        </w:tc>
      </w:tr>
      <w:tr>
        <w:tc>
          <w:tcPr>
            <w:tcW w:type="dxa" w:w="2"/>
            <w:tcW w:w="1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r>
              <w:rPr>
                <w:rFonts w:ascii="Arial" w:hAnsi="Arial"/>
                <w:sz w:val="15"/>
              </w:rPr>
              <w:t>Février</w:t>
            </w:r>
          </w:p>
        </w:tc>
        <w:tc>
          <w:tcPr>
            <w:tcW w:type="dxa" w:w="3"/>
            <w:tcW w:w="20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52 affaires</w:t>
            </w:r>
          </w:p>
        </w:tc>
        <w:tc>
          <w:tcPr>
            <w:tcW w:type="dxa" w:w="3"/>
            <w:tcW w:w="16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1 réclamation</w:t>
            </w:r>
          </w:p>
        </w:tc>
        <w:tc>
          <w:tcPr>
            <w:tcW w:type="dxa" w:w="2"/>
            <w:tcW w:w="12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1,9 %</w:t>
            </w:r>
          </w:p>
        </w:tc>
        <w:tc>
          <w:tcPr>
            <w:tcW w:type="dxa" w:w="4"/>
            <w:tcW w:w="24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P5 Qualité (Aspect)</w:t>
            </w:r>
          </w:p>
        </w:tc>
        <w:tc>
          <w:tcPr>
            <w:tcW w:type="dxa" w:w="3"/>
            <w:tcW w:w="1600" w:type="dxa"/>
            <w:shd w:fill="F9F9F7"/>
            <w:tcMar>
              <w:top w:w="45" w:type="dxa"/>
              <w:bottom w:w="45" w:type="dxa"/>
              <w:left w:w="60" w:type="dxa"/>
              <w:right w:w="60" w:type="dxa"/>
            </w:tcMar>
            <w:tcBorders>
              <w:top w:val="single" w:sz="4" w:space="0" w:color="E2DCCC"/>
              <w:left w:val="single" w:sz="4" w:space="0" w:color="E2DCCC"/>
              <w:bottom w:val="single" w:sz="4" w:space="0" w:color="E2DCCC"/>
              <w:right w:val="single" w:sz="4" w:space="0" w:color="E2DCCC"/>
            </w:tcBorders>
          </w:tcPr>
          <w:p>
            <w:pPr>
              <w:jc w:val="center"/>
            </w:pPr>
            <w:r>
              <w:rPr>
                <w:rFonts w:ascii="Arial" w:hAnsi="Arial"/>
                <w:sz w:val="15"/>
              </w:rPr>
              <w:t>18 heures</w:t>
            </w:r>
          </w:p>
        </w:tc>
      </w:tr>
    </w:tbl>
    <w:p>
      <w:pPr>
        <w:spacing w:after="60"/>
      </w:pPr>
    </w:p>
    <w:p>
      <w:r>
        <w:br w:type="page"/>
      </w:r>
    </w:p>
    <w:p>
      <w:pPr>
        <w:spacing w:before="0" w:after="40"/>
      </w:pPr>
      <w:r>
        <w:rPr>
          <w:rFonts w:ascii="Arial" w:hAnsi="Arial"/>
          <w:b/>
          <w:color w:val="C5A065"/>
          <w:sz w:val="15"/>
        </w:rPr>
        <w:t>CABINET DELACOUR  •  PROTOCOLE D'APPLICATION TERRAIN  •  OUTIL 2.3 (PAGE 2 / 2)</w:t>
      </w:r>
    </w:p>
    <w:tbl>
      <w:tblPr>
        <w:tblW w:type="auto" w:w="0"/>
        <w:jc w:val="center"/>
        <w:tblLayout w:type="fixed"/>
        <w:tblLook w:firstColumn="1" w:firstRow="1" w:lastColumn="0" w:lastRow="0" w:noHBand="0" w:noVBand="1" w:val="04A0"/>
      </w:tblPr>
      <w:tblGrid>
        <w:gridCol w:w="10613"/>
      </w:tblGrid>
      <w:tr>
        <w:tc>
          <w:tcPr>
            <w:tcW w:type="dxa" w:w="16"/>
            <w:tcW w:w="10200" w:type="dxa"/>
            <w:shd w:fill="1B4D3E"/>
            <w:tcMar>
              <w:top w:w="30" w:type="dxa"/>
              <w:bottom w:w="30" w:type="dxa"/>
              <w:left w:w="80" w:type="dxa"/>
              <w:right w:w="80" w:type="dxa"/>
            </w:tcMar>
            <w:tcBorders>
              <w:left w:val="single" w:sz="24" w:space="0" w:color="C5A065"/>
            </w:tcBorders>
          </w:tcPr>
          <w:p>
            <w:pPr>
              <w:spacing w:after="20"/>
            </w:pPr>
            <w:r>
              <w:rPr>
                <w:rFonts w:ascii="Georgia" w:hAnsi="Georgia"/>
                <w:b/>
                <w:color w:val="C5A065"/>
                <w:sz w:val="16"/>
              </w:rPr>
              <w:t>1. PRINCIPE DIRECTEUR &amp; RÈGLE D'OR DU DIRIGEANT</w:t>
            </w:r>
          </w:p>
          <w:p>
            <w:pPr>
              <w:spacing w:after="0"/>
            </w:pPr>
            <w:r>
              <w:rPr>
                <w:rFonts w:ascii="Georgia" w:hAnsi="Georgia"/>
                <w:b/>
                <w:color w:val="FFFFFF"/>
                <w:sz w:val="17"/>
              </w:rPr>
              <w:t>« Un client mécontent recontacté sous 48h est un client fidélisé à vie ; un client mécontent ignoré bloque 100% de la facture. Identifier le processus responsable permet d'éradiquer la cause. »</w:t>
            </w:r>
          </w:p>
        </w:tc>
      </w:tr>
    </w:tbl>
    <w:p>
      <w:pPr>
        <w:spacing w:before="80" w:after="40"/>
      </w:pPr>
      <w:r>
        <w:rPr>
          <w:rFonts w:ascii="Georgia" w:hAnsi="Georgia"/>
          <w:b/>
          <w:color w:val="1B4D3E"/>
          <w:sz w:val="17"/>
        </w:rPr>
        <w:t>2. PROTOCOLE D'APPLICATION EN 3 ÉTAPES CLÉS</w:t>
      </w:r>
    </w:p>
    <w:tbl>
      <w:tblPr>
        <w:tblW w:type="auto" w:w="0"/>
        <w:jc w:val="center"/>
        <w:tblLayout w:type="fixed"/>
        <w:tblLook w:firstColumn="1" w:firstRow="1" w:lastColumn="0" w:lastRow="0" w:noHBand="0" w:noVBand="1" w:val="04A0"/>
      </w:tblPr>
      <w:tblGrid>
        <w:gridCol w:w="5306"/>
        <w:gridCol w:w="5306"/>
      </w:tblGrid>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1 : Consignation immédiate (1h)</w:t>
            </w:r>
          </w:p>
        </w:tc>
        <w:tc>
          <w:tcPr>
            <w:tcW w:type="dxa" w:w="12"/>
            <w:tcW w:w="7600" w:type="dxa"/>
            <w:shd w:fill="FFFFFF"/>
            <w:tcMar>
              <w:top w:w="16" w:type="dxa"/>
              <w:bottom w:w="16" w:type="dxa"/>
              <w:left w:w="60" w:type="dxa"/>
              <w:right w:w="60" w:type="dxa"/>
            </w:tcMar>
            <w:tcBorders>
              <w:bottom w:val="single" w:sz="4" w:space="0" w:color="E2DCCC"/>
            </w:tcBorders>
          </w:tcPr>
          <w:p>
            <w:pPr>
              <w:spacing w:after="0"/>
            </w:pPr>
            <w:r>
              <w:rPr>
                <w:rFonts w:ascii="Arial" w:hAnsi="Arial"/>
                <w:color w:val="152822"/>
                <w:sz w:val="15"/>
              </w:rPr>
              <w:t>Tout collaborateur qui reçoit une plainte (téléphone, mail, chantier) a l'obligation de l'inscrire dans le registre partagé dans l'heure, puis d'envoyer l'accusé de réception au client.</w:t>
            </w:r>
          </w:p>
        </w:tc>
      </w:tr>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2 : Recontact du client sous 48h ouvrées</w:t>
            </w:r>
          </w:p>
        </w:tc>
        <w:tc>
          <w:tcPr>
            <w:tcW w:type="dxa" w:w="12"/>
            <w:tcW w:w="7600" w:type="dxa"/>
            <w:shd w:fill="F9F9F7"/>
            <w:tcMar>
              <w:top w:w="16" w:type="dxa"/>
              <w:bottom w:w="16" w:type="dxa"/>
              <w:left w:w="60" w:type="dxa"/>
              <w:right w:w="60" w:type="dxa"/>
            </w:tcMar>
            <w:tcBorders>
              <w:bottom w:val="single" w:sz="4" w:space="0" w:color="E2DCCC"/>
            </w:tcBorders>
          </w:tcPr>
          <w:p>
            <w:pPr>
              <w:spacing w:after="0"/>
            </w:pPr>
            <w:r>
              <w:rPr>
                <w:rFonts w:ascii="Arial" w:hAnsi="Arial"/>
                <w:color w:val="152822"/>
                <w:sz w:val="15"/>
              </w:rPr>
              <w:t>Le responsable ou la direction recontacte le client (téléphone, e-mail ou sur place, selon ce qui lui convient) : écoute sans justification, excuses et solution de dépannage sous 24h.</w:t>
            </w:r>
          </w:p>
        </w:tc>
      </w:tr>
      <w:tr>
        <w:tc>
          <w:tcPr>
            <w:tcW w:type="dxa" w:w="4"/>
            <w:tcW w:w="2600" w:type="dxa"/>
            <w:shd w:fill="E8F0EC"/>
            <w:tcMar>
              <w:top w:w="16" w:type="dxa"/>
              <w:bottom w:w="16" w:type="dxa"/>
              <w:left w:w="50" w:type="dxa"/>
              <w:right w:w="50" w:type="dxa"/>
            </w:tcMar>
            <w:tcBorders>
              <w:bottom w:val="single" w:sz="4" w:space="0" w:color="E2DCCC"/>
            </w:tcBorders>
          </w:tcPr>
          <w:p>
            <w:pPr>
              <w:spacing w:after="0"/>
            </w:pPr>
            <w:r>
              <w:rPr>
                <w:rFonts w:ascii="Arial" w:hAnsi="Arial"/>
                <w:b/>
                <w:color w:val="1B4D3E"/>
                <w:sz w:val="15"/>
              </w:rPr>
              <w:t>Étape 3 : Enquête, imputation &amp; clôture</w:t>
            </w:r>
          </w:p>
        </w:tc>
        <w:tc>
          <w:tcPr>
            <w:tcW w:type="dxa" w:w="12"/>
            <w:tcW w:w="7600" w:type="dxa"/>
            <w:shd w:fill="FFFFFF"/>
            <w:tcMar>
              <w:top w:w="16" w:type="dxa"/>
              <w:bottom w:w="16" w:type="dxa"/>
              <w:left w:w="60" w:type="dxa"/>
              <w:right w:w="60" w:type="dxa"/>
            </w:tcMar>
            <w:tcBorders>
              <w:bottom w:val="single" w:sz="4" w:space="0" w:color="E2DCCC"/>
            </w:tcBorders>
          </w:tcPr>
          <w:p>
            <w:pPr>
              <w:spacing w:after="0"/>
            </w:pPr>
            <w:r>
              <w:rPr>
                <w:rFonts w:ascii="Arial" w:hAnsi="Arial"/>
                <w:color w:val="152822"/>
                <w:sz w:val="15"/>
              </w:rPr>
              <w:t>Vérifier les faits. Si la réclamation est justifiée : qualifier le processus responsable (P1 à P5), noter la cause et la mesure corrective. Si elle ne l'est pas : répondre au client avec les preuves. Au-delà d'un montant fixé par la direction, l'avoir ou la réponse est validé par la direction avant d'informer le client. Client injoignable à J+15 : noter les tentatives et clore. Appel de courtoisie à J+15 : noter si le client est satisfait. S'il ne l'est pas, la réclamation reste ouverte et une autre solution est proposée. Ne pas clore tant que la facture bloquée n'est pas libérée.</w:t>
            </w:r>
          </w:p>
        </w:tc>
      </w:tr>
    </w:tbl>
    <w:p>
      <w:pPr>
        <w:spacing w:before="80" w:after="40"/>
      </w:pPr>
      <w:r>
        <w:rPr>
          <w:rFonts w:ascii="Georgia" w:hAnsi="Georgia"/>
          <w:b/>
          <w:color w:val="1B4D3E"/>
          <w:sz w:val="17"/>
        </w:rPr>
        <w:t>3. BOÎTE À IDÉES : TYPOLOGIE DES RÉCLAMATIONS PAR PROCESSUS</w:t>
      </w:r>
    </w:p>
    <w:tbl>
      <w:tblPr>
        <w:tblW w:type="auto" w:w="0"/>
        <w:jc w:val="center"/>
        <w:tblLayout w:type="fixed"/>
        <w:tblLook w:firstColumn="1" w:firstRow="1" w:lastColumn="0" w:lastRow="0" w:noHBand="0" w:noVBand="1" w:val="04A0"/>
      </w:tblPr>
      <w:tblGrid>
        <w:gridCol w:w="5306"/>
        <w:gridCol w:w="5306"/>
      </w:tblGrid>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P1 Direction / Tarifs</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color w:val="152822"/>
                <w:sz w:val="15"/>
              </w:rPr>
              <w:t>• Erreur de facturation ou de conditions de paiement   • Promesse stratégique non relayée aux équipes</w:t>
            </w:r>
          </w:p>
        </w:tc>
      </w:tr>
      <w:tr>
        <w:tc>
          <w:tcPr>
            <w:tcW w:type="dxa" w:w="4"/>
            <w:tcW w:w="2600" w:type="dxa"/>
            <w:shd w:fill="FFFFFF"/>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P2 Commercial / Devis</w:t>
            </w:r>
          </w:p>
        </w:tc>
        <w:tc>
          <w:tcPr>
            <w:tcW w:type="dxa" w:w="12"/>
            <w:tcW w:w="7600" w:type="dxa"/>
            <w:shd w:fill="F9F9F7"/>
            <w:tcMar>
              <w:top w:w="14" w:type="dxa"/>
              <w:bottom w:w="14" w:type="dxa"/>
              <w:left w:w="60" w:type="dxa"/>
              <w:right w:w="60" w:type="dxa"/>
            </w:tcMar>
            <w:tcBorders>
              <w:bottom w:val="single" w:sz="4" w:space="0" w:color="E2DCCC"/>
            </w:tcBorders>
          </w:tcPr>
          <w:p>
            <w:pPr>
              <w:spacing w:after="0"/>
            </w:pPr>
            <w:r>
              <w:rPr>
                <w:rFonts w:ascii="Arial" w:hAnsi="Arial"/>
                <w:color w:val="152822"/>
                <w:sz w:val="15"/>
              </w:rPr>
              <w:t>• Devis flou ayant induit le client en erreur   • Avenant non signé contesté à la facturation</w:t>
            </w:r>
          </w:p>
        </w:tc>
      </w:tr>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P3 Réalisation / Délais</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color w:val="152822"/>
                <w:sz w:val="15"/>
              </w:rPr>
              <w:t>• Retard de livraison non prévenu   • Erreur de fabrication / pièce non conforme au plan</w:t>
            </w:r>
          </w:p>
        </w:tc>
      </w:tr>
      <w:tr>
        <w:tc>
          <w:tcPr>
            <w:tcW w:type="dxa" w:w="4"/>
            <w:tcW w:w="2600" w:type="dxa"/>
            <w:shd w:fill="FFFFFF"/>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P4 RH / Comportement</w:t>
            </w:r>
          </w:p>
        </w:tc>
        <w:tc>
          <w:tcPr>
            <w:tcW w:type="dxa" w:w="12"/>
            <w:tcW w:w="7600" w:type="dxa"/>
            <w:shd w:fill="F9F9F7"/>
            <w:tcMar>
              <w:top w:w="14" w:type="dxa"/>
              <w:bottom w:w="14" w:type="dxa"/>
              <w:left w:w="60" w:type="dxa"/>
              <w:right w:w="60" w:type="dxa"/>
            </w:tcMar>
            <w:tcBorders>
              <w:bottom w:val="single" w:sz="4" w:space="0" w:color="E2DCCC"/>
            </w:tcBorders>
          </w:tcPr>
          <w:p>
            <w:pPr>
              <w:spacing w:after="0"/>
            </w:pPr>
            <w:r>
              <w:rPr>
                <w:rFonts w:ascii="Arial" w:hAnsi="Arial"/>
                <w:color w:val="152822"/>
                <w:sz w:val="15"/>
              </w:rPr>
              <w:t>• Manque de formation recrue sur chantier   • Comportement ou propreté de l'équipe sur site client</w:t>
            </w:r>
          </w:p>
        </w:tc>
      </w:tr>
      <w:tr>
        <w:tc>
          <w:tcPr>
            <w:tcW w:type="dxa" w:w="4"/>
            <w:tcW w:w="2600" w:type="dxa"/>
            <w:shd w:fill="F9F9F7"/>
            <w:tcMar>
              <w:top w:w="14" w:type="dxa"/>
              <w:bottom w:w="14" w:type="dxa"/>
              <w:left w:w="50" w:type="dxa"/>
              <w:right w:w="50" w:type="dxa"/>
            </w:tcMar>
            <w:tcBorders>
              <w:left w:val="single" w:sz="16" w:space="0" w:color="C5A065"/>
              <w:bottom w:val="single" w:sz="4" w:space="0" w:color="E2DCCC"/>
            </w:tcBorders>
          </w:tcPr>
          <w:p>
            <w:pPr>
              <w:spacing w:after="0"/>
            </w:pPr>
            <w:r>
              <w:rPr>
                <w:rFonts w:ascii="Arial" w:hAnsi="Arial"/>
                <w:b/>
                <w:color w:val="1B4D3E"/>
                <w:sz w:val="15"/>
              </w:rPr>
              <w:t>P5 Qualité / Contrôle</w:t>
            </w:r>
          </w:p>
        </w:tc>
        <w:tc>
          <w:tcPr>
            <w:tcW w:type="dxa" w:w="12"/>
            <w:tcW w:w="7600" w:type="dxa"/>
            <w:shd w:fill="FFFFFF"/>
            <w:tcMar>
              <w:top w:w="14" w:type="dxa"/>
              <w:bottom w:w="14" w:type="dxa"/>
              <w:left w:w="60" w:type="dxa"/>
              <w:right w:w="60" w:type="dxa"/>
            </w:tcMar>
            <w:tcBorders>
              <w:bottom w:val="single" w:sz="4" w:space="0" w:color="E2DCCC"/>
            </w:tcBorders>
          </w:tcPr>
          <w:p>
            <w:pPr>
              <w:spacing w:after="0"/>
            </w:pPr>
            <w:r>
              <w:rPr>
                <w:rFonts w:ascii="Arial" w:hAnsi="Arial"/>
                <w:color w:val="152822"/>
                <w:sz w:val="15"/>
              </w:rPr>
              <w:t>• Défaut d'aspect non vu au contrôle final   • Emballage insuffisant ayant causé une rayure</w:t>
            </w:r>
          </w:p>
        </w:tc>
      </w:tr>
    </w:tbl>
    <w:p>
      <w:pPr>
        <w:spacing w:before="80" w:after="40"/>
      </w:pPr>
      <w:r>
        <w:rPr>
          <w:rFonts w:ascii="Georgia" w:hAnsi="Georgia"/>
          <w:b/>
          <w:color w:val="1B4D3E"/>
          <w:sz w:val="17"/>
        </w:rPr>
        <w:t>4. RETOUR D'EXPÉRIENCE CONCRET (CAS RÉEL PME)</w:t>
      </w:r>
    </w:p>
    <w:tbl>
      <w:tblPr>
        <w:tblW w:type="auto" w:w="0"/>
        <w:jc w:val="center"/>
        <w:tblLayout w:type="fixed"/>
        <w:tblLook w:firstColumn="1" w:firstRow="1" w:lastColumn="0" w:lastRow="0" w:noHBand="0" w:noVBand="1" w:val="04A0"/>
      </w:tblPr>
      <w:tblGrid>
        <w:gridCol w:w="10613"/>
      </w:tblGrid>
      <w:tr>
        <w:tc>
          <w:tcPr>
            <w:tcW w:type="dxa" w:w="16"/>
            <w:tcW w:w="10200" w:type="dxa"/>
            <w:shd w:fill="F4F8F5"/>
            <w:tcMar>
              <w:top w:w="18" w:type="dxa"/>
              <w:bottom w:w="18" w:type="dxa"/>
              <w:left w:w="60" w:type="dxa"/>
              <w:right w:w="60" w:type="dxa"/>
            </w:tcMar>
            <w:tcBorders>
              <w:top w:val="single" w:sz="4" w:space="0" w:color="E2DCCC"/>
              <w:left w:val="single" w:sz="20" w:space="0" w:color="1B4D3E"/>
              <w:bottom w:val="single" w:sz="4" w:space="0" w:color="E2DCCC"/>
              <w:right w:val="single" w:sz="4" w:space="0" w:color="E2DCCC"/>
            </w:tcBorders>
          </w:tcPr>
          <w:p>
            <w:pPr>
              <w:spacing w:after="20"/>
            </w:pPr>
            <w:r>
              <w:rPr>
                <w:rFonts w:ascii="Arial" w:hAnsi="Arial"/>
                <w:b/>
                <w:color w:val="1B4D3E"/>
                <w:sz w:val="15"/>
              </w:rPr>
              <w:t>SITUATION &amp; IMPACT BUSINESS : Société d'Ingénierie &amp; Distribution B2B (22 collaborateurs)</w:t>
            </w:r>
          </w:p>
          <w:p>
            <w:pPr>
              <w:spacing w:after="0"/>
            </w:pPr>
            <w:r>
              <w:rPr>
                <w:rFonts w:ascii="Arial" w:hAnsi="Arial"/>
                <w:color w:val="152822"/>
                <w:sz w:val="15"/>
              </w:rPr>
              <w:t>Constat initial : Réclamations traitées oralement au coup par coup. Litiges découverts après 60 jours lors des relances d'impayés.</w:t>
              <w:br/>
              <w:t>Action mise en œuvre : Centralisation du registre avec imputation par processus et engagement formel de contact sous 48h.</w:t>
              <w:br/>
              <w:t>Résultat obtenu : Délai moyen de résolution divisé par 4 et litiges de facturation ramenés à zéro.</w:t>
            </w:r>
          </w:p>
        </w:tc>
      </w:tr>
    </w:tbl>
    <w:sectPr w:rsidR="00FC693F" w:rsidRPr="0006063C" w:rsidSect="00034616">
      <w:headerReference w:type="default" r:id="rId9"/>
      <w:footerReference w:type="default" r:id="rId10"/>
      <w:pgSz w:w="11909" w:h="16834"/>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10512"/>
      </w:tabs>
    </w:pPr>
    <w:r>
      <w:rPr>
        <w:rFonts w:ascii="Arial" w:hAnsi="Arial"/>
        <w:color w:val="787878"/>
        <w:sz w:val="15"/>
      </w:rPr>
      <w:t>Cabinet Delacour - contact@cabinetdelacour.com</w:t>
    </w:r>
    <w:r>
      <w:rPr>
        <w:rFonts w:ascii="Arial" w:hAnsi="Arial"/>
        <w:color w:val="787878"/>
        <w:sz w:val="15"/>
      </w:rPr>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CABINET DELACOUR - PERFORMANCE &amp; RENTABILITE PME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