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6720840" cy="4910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der_brand_unified_h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4910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6"/>
            <w:tcW w:w="10200" w:type="dxa"/>
            <w:shd w:fill="F9F9F7"/>
            <w:tcMar>
              <w:top w:w="40" w:type="dxa"/>
              <w:bottom w:w="40" w:type="dxa"/>
              <w:left w:w="90" w:type="dxa"/>
              <w:right w:w="90" w:type="dxa"/>
            </w:tcMar>
            <w:tcBorders>
              <w:top w:val="single" w:sz="4" w:space="0" w:color="E2DCCC"/>
              <w:left w:val="single" w:sz="24" w:space="0" w:color="C5A065"/>
              <w:bottom w:val="single" w:sz="12" w:space="0" w:color="1B4D3E"/>
              <w:right w:val="single" w:sz="4" w:space="0" w:color="E2DCCC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C5A065"/>
                <w:sz w:val="22"/>
              </w:rPr>
              <w:t xml:space="preserve">OUTIL 5.4  •  </w:t>
            </w:r>
            <w:r>
              <w:rPr>
                <w:rFonts w:ascii="Georgia" w:hAnsi="Georgia"/>
                <w:b/>
                <w:color w:val="1B4D3E"/>
                <w:sz w:val="22"/>
              </w:rPr>
              <w:t>FICHE DÉTROMPEUR (POKA-YOKE) &amp; CONTRÔLE J+30</w:t>
            </w:r>
            <w:r>
              <w:rPr>
                <w:rFonts w:ascii="Arial" w:hAnsi="Arial"/>
                <w:b/>
                <w:color w:val="787878"/>
                <w:sz w:val="16"/>
              </w:rPr>
              <w:t xml:space="preserve">   [Audit 5.4]</w:t>
            </w:r>
          </w:p>
          <w:p>
            <w:pPr>
              <w:spacing w:after="0"/>
            </w:pPr>
            <w:r>
              <w:rPr>
                <w:rFonts w:ascii="Arial" w:hAnsi="Arial"/>
                <w:i/>
                <w:color w:val="152822"/>
                <w:sz w:val="17"/>
              </w:rPr>
              <w:t>« Rendre l'erreur physiquement impossible sur les processus et vérifier formellement l'efficacité à J+30 »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06"/>
        <w:gridCol w:w="5306"/>
      </w:tblGrid>
      <w:tr>
        <w:tc>
          <w:tcPr>
            <w:tcW w:type="dxa" w:w="5"/>
            <w:tcW w:w="3200" w:type="dxa"/>
            <w:shd w:fill="E8F0EC"/>
            <w:tcMar>
              <w:top w:w="18" w:type="dxa"/>
              <w:bottom w:w="18" w:type="dxa"/>
              <w:left w:w="50" w:type="dxa"/>
              <w:right w:w="5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52822"/>
                <w:sz w:val="15"/>
              </w:rPr>
              <w:t>Processus &amp; Poste Concerné :</w:t>
            </w:r>
          </w:p>
        </w:tc>
        <w:tc>
          <w:tcPr>
            <w:tcW w:type="dxa" w:w="11"/>
            <w:tcW w:w="7000" w:type="dxa"/>
            <w:shd w:fill="FFFFFF"/>
            <w:tcMar>
              <w:top w:w="18" w:type="dxa"/>
              <w:bottom w:w="18" w:type="dxa"/>
              <w:left w:w="60" w:type="dxa"/>
              <w:right w:w="6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787878"/>
                <w:sz w:val="15"/>
              </w:rPr>
              <w:t>[ Processus P3 Opérations - Poste Assemblage Portes Blindées ]</w:t>
            </w:r>
          </w:p>
        </w:tc>
      </w:tr>
      <w:tr>
        <w:tc>
          <w:tcPr>
            <w:tcW w:type="dxa" w:w="5"/>
            <w:tcW w:w="3200" w:type="dxa"/>
            <w:shd w:fill="E8F0EC"/>
            <w:tcMar>
              <w:top w:w="18" w:type="dxa"/>
              <w:bottom w:w="18" w:type="dxa"/>
              <w:left w:w="50" w:type="dxa"/>
              <w:right w:w="5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52822"/>
                <w:sz w:val="15"/>
              </w:rPr>
              <w:t>Défaut Historique à Éradiquer :</w:t>
            </w:r>
          </w:p>
        </w:tc>
        <w:tc>
          <w:tcPr>
            <w:tcW w:type="dxa" w:w="11"/>
            <w:tcW w:w="7000" w:type="dxa"/>
            <w:shd w:fill="F9F9F7"/>
            <w:tcMar>
              <w:top w:w="18" w:type="dxa"/>
              <w:bottom w:w="18" w:type="dxa"/>
              <w:left w:w="60" w:type="dxa"/>
              <w:right w:w="6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787878"/>
                <w:sz w:val="15"/>
              </w:rPr>
              <w:t>Montage inversé de la charnière haute provoquant le blocage de la porte</w:t>
            </w:r>
          </w:p>
        </w:tc>
      </w:tr>
      <w:tr>
        <w:tc>
          <w:tcPr>
            <w:tcW w:type="dxa" w:w="5"/>
            <w:tcW w:w="3200" w:type="dxa"/>
            <w:shd w:fill="E8F0EC"/>
            <w:tcMar>
              <w:top w:w="18" w:type="dxa"/>
              <w:bottom w:w="18" w:type="dxa"/>
              <w:left w:w="50" w:type="dxa"/>
              <w:right w:w="5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52822"/>
                <w:sz w:val="15"/>
              </w:rPr>
              <w:t>Engagement d'Audit d'Efficacité :</w:t>
            </w:r>
          </w:p>
        </w:tc>
        <w:tc>
          <w:tcPr>
            <w:tcW w:type="dxa" w:w="11"/>
            <w:tcW w:w="7000" w:type="dxa"/>
            <w:shd w:fill="FFFFFF"/>
            <w:tcMar>
              <w:top w:w="18" w:type="dxa"/>
              <w:bottom w:w="18" w:type="dxa"/>
              <w:left w:w="60" w:type="dxa"/>
              <w:right w:w="6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787878"/>
                <w:sz w:val="15"/>
              </w:rPr>
              <w:t>Vérification inopinée obligatoire sur le terrain 30 jours après mise en service</w:t>
            </w:r>
          </w:p>
        </w:tc>
      </w:tr>
    </w:tbl>
    <w:p>
      <w:pPr>
        <w:spacing w:before="80" w:after="40"/>
      </w:pPr>
      <w:r>
        <w:rPr>
          <w:rFonts w:ascii="Georgia" w:hAnsi="Georgia"/>
          <w:b/>
          <w:color w:val="1B4D3E"/>
          <w:sz w:val="17"/>
        </w:rPr>
        <w:t>1. CONCEPTION DU DÉTROMPEUR PHYSIQUE OU LOGICIEL (POKA-YOKE)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06"/>
        <w:gridCol w:w="5306"/>
      </w:tblGrid>
      <w:tr>
        <w:tc>
          <w:tcPr>
            <w:tcW w:type="dxa" w:w="5"/>
            <w:tcW w:w="34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PARAMÈTRE DU DISPOSITIF</w:t>
            </w:r>
          </w:p>
        </w:tc>
        <w:tc>
          <w:tcPr>
            <w:tcW w:type="dxa" w:w="11"/>
            <w:tcW w:w="68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DESCRIPTION TECHNIQUE CONCRÈTE</w:t>
            </w:r>
          </w:p>
        </w:tc>
      </w:tr>
      <w:tr>
        <w:tc>
          <w:tcPr>
            <w:tcW w:type="dxa" w:w="5"/>
            <w:tcW w:w="3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Processus Sécurisé</w:t>
            </w:r>
          </w:p>
        </w:tc>
        <w:tc>
          <w:tcPr>
            <w:tcW w:type="dxa" w:w="11"/>
            <w:tcW w:w="68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Processus 3 : Réalisation &amp; Opérations (Atelier de fabrication)</w:t>
            </w:r>
          </w:p>
        </w:tc>
      </w:tr>
      <w:tr>
        <w:tc>
          <w:tcPr>
            <w:tcW w:type="dxa" w:w="5"/>
            <w:tcW w:w="34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Nature du Détrompeur Installé</w:t>
            </w:r>
          </w:p>
        </w:tc>
        <w:tc>
          <w:tcPr>
            <w:tcW w:type="dxa" w:w="11"/>
            <w:tcW w:w="68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🔴 Butée mécanique fixe soudée sur gabarit (impossible d'insérer la pièce à l'envers)</w:t>
            </w:r>
          </w:p>
        </w:tc>
      </w:tr>
      <w:tr>
        <w:tc>
          <w:tcPr>
            <w:tcW w:type="dxa" w:w="5"/>
            <w:tcW w:w="3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Fonctionnement &amp; Blocage</w:t>
            </w:r>
          </w:p>
        </w:tc>
        <w:tc>
          <w:tcPr>
            <w:tcW w:type="dxa" w:w="11"/>
            <w:tcW w:w="68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Si l'opérateur présente la pièce dans le mauvais sens, l'ergot bloque la fermeture de la pince.</w:t>
            </w:r>
          </w:p>
        </w:tc>
      </w:tr>
      <w:tr>
        <w:tc>
          <w:tcPr>
            <w:tcW w:type="dxa" w:w="5"/>
            <w:tcW w:w="34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Coût &amp; Délai de Réalisation</w:t>
            </w:r>
          </w:p>
        </w:tc>
        <w:tc>
          <w:tcPr>
            <w:tcW w:type="dxa" w:w="11"/>
            <w:tcW w:w="68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Coût matière : 35,00 € HT   -   Temps usinage interne : 1h30   -   Mise en service : J+3</w:t>
            </w:r>
          </w:p>
        </w:tc>
      </w:tr>
      <w:tr>
        <w:tc>
          <w:tcPr>
            <w:tcW w:type="dxa" w:w="5"/>
            <w:tcW w:w="3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Opérateurs Formés au Dispositif</w:t>
            </w:r>
          </w:p>
        </w:tc>
        <w:tc>
          <w:tcPr>
            <w:tcW w:type="dxa" w:w="11"/>
            <w:tcW w:w="68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100% des opérateurs de ligne formés et testés au poste avec la nouvelle butée.</w:t>
            </w:r>
          </w:p>
        </w:tc>
      </w:tr>
    </w:tbl>
    <w:p>
      <w:pPr>
        <w:spacing w:after="60"/>
      </w:pPr>
    </w:p>
    <w:p>
      <w:pPr>
        <w:spacing w:before="80" w:after="40"/>
      </w:pPr>
      <w:r>
        <w:rPr>
          <w:rFonts w:ascii="Georgia" w:hAnsi="Georgia"/>
          <w:b/>
          <w:color w:val="1B4D3E"/>
          <w:sz w:val="17"/>
        </w:rPr>
        <w:t>2. CONTRÔLE D'EFFICACITÉ TERRAIN À J+30 (OBLIGATOIRE POUR CLÔTURE)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38"/>
        <w:gridCol w:w="3538"/>
        <w:gridCol w:w="3538"/>
      </w:tblGrid>
      <w:tr>
        <w:tc>
          <w:tcPr>
            <w:tcW w:type="dxa" w:w="6"/>
            <w:tcW w:w="38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POINT D'AUDIT SUR LE TERRAIN (J+30)</w:t>
            </w:r>
          </w:p>
        </w:tc>
        <w:tc>
          <w:tcPr>
            <w:tcW w:type="dxa" w:w="8"/>
            <w:tcW w:w="48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CONSTAT FACTUEL MESURÉ</w:t>
            </w:r>
          </w:p>
        </w:tc>
        <w:tc>
          <w:tcPr>
            <w:tcW w:type="dxa" w:w="3"/>
            <w:tcW w:w="16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RÉSULTAT</w:t>
            </w:r>
          </w:p>
        </w:tc>
      </w:tr>
      <w:tr>
        <w:tc>
          <w:tcPr>
            <w:tcW w:type="dxa" w:w="6"/>
            <w:tcW w:w="38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1. Taux de récidive du défaut sur 30 jours</w:t>
            </w:r>
          </w:p>
        </w:tc>
        <w:tc>
          <w:tcPr>
            <w:tcW w:type="dxa" w:w="8"/>
            <w:tcW w:w="48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Total pièces produites : 420 unités - Nb d'inversions constatées : ZÉRO</w:t>
            </w:r>
          </w:p>
        </w:tc>
        <w:tc>
          <w:tcPr>
            <w:tcW w:type="dxa" w:w="3"/>
            <w:tcW w:w="16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RÉUSSI (0 défaut)</w:t>
            </w:r>
          </w:p>
        </w:tc>
      </w:tr>
      <w:tr>
        <w:tc>
          <w:tcPr>
            <w:tcW w:type="dxa" w:w="6"/>
            <w:tcW w:w="38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2. Maintien en place du détrompeur</w:t>
            </w:r>
          </w:p>
        </w:tc>
        <w:tc>
          <w:tcPr>
            <w:tcW w:type="dxa" w:w="8"/>
            <w:tcW w:w="48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La butée est intacte, parfaitement vissée, aucun contournement constaté</w:t>
            </w:r>
          </w:p>
        </w:tc>
        <w:tc>
          <w:tcPr>
            <w:tcW w:type="dxa" w:w="3"/>
            <w:tcW w:w="16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B5E20"/>
                <w:sz w:val="15"/>
              </w:rPr>
              <w:t>CONFORME</w:t>
            </w:r>
          </w:p>
        </w:tc>
      </w:tr>
      <w:tr>
        <w:tc>
          <w:tcPr>
            <w:tcW w:type="dxa" w:w="6"/>
            <w:tcW w:w="38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3. Impact sur la cadence de travail</w:t>
            </w:r>
          </w:p>
        </w:tc>
        <w:tc>
          <w:tcPr>
            <w:tcW w:type="dxa" w:w="8"/>
            <w:tcW w:w="48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Aucun ralentissement mesuré - Opérateurs satisfaits de ne plus douter</w:t>
            </w:r>
          </w:p>
        </w:tc>
        <w:tc>
          <w:tcPr>
            <w:tcW w:type="dxa" w:w="3"/>
            <w:tcW w:w="16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B5E20"/>
                <w:sz w:val="15"/>
              </w:rPr>
              <w:t>CONFORME</w:t>
            </w:r>
          </w:p>
        </w:tc>
      </w:tr>
    </w:tbl>
    <w:p>
      <w:pPr>
        <w:spacing w:after="60"/>
      </w:pPr>
    </w:p>
    <w:p>
      <w:pPr>
        <w:spacing w:before="80" w:after="40"/>
      </w:pPr>
      <w:r>
        <w:rPr>
          <w:rFonts w:ascii="Georgia" w:hAnsi="Georgia"/>
          <w:b/>
          <w:color w:val="1B4D3E"/>
          <w:sz w:val="17"/>
        </w:rPr>
        <w:t>3. CLÔTURE DÉFINITIVE &amp; SIGNATURES CONTRADICTOIRES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06"/>
        <w:gridCol w:w="5306"/>
      </w:tblGrid>
      <w:tr>
        <w:tc>
          <w:tcPr>
            <w:tcW w:type="dxa" w:w="8"/>
            <w:tcW w:w="51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DÉCISION DU RESPONSABLE QUALITÉ (P5)</w:t>
            </w:r>
          </w:p>
        </w:tc>
        <w:tc>
          <w:tcPr>
            <w:tcW w:type="dxa" w:w="8"/>
            <w:tcW w:w="51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VALIDATION DU CHEF D'ATELIER (P3)</w:t>
            </w:r>
          </w:p>
        </w:tc>
      </w:tr>
      <w:tr>
        <w:tc>
          <w:tcPr>
            <w:tcW w:type="dxa" w:w="8"/>
            <w:tcW w:w="51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L'action corrective est formellement déclarée EFFICACE et PÉRENNE.</w:t>
              <w:br/>
              <w:t>La fiche NC est définitivement clôturée.</w:t>
              <w:br/>
              <w:br/>
              <w:t>Date : ____/____/202__   -   Signature Qualité :</w:t>
            </w:r>
          </w:p>
        </w:tc>
        <w:tc>
          <w:tcPr>
            <w:tcW w:type="dxa" w:w="8"/>
            <w:tcW w:w="51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Le dispositif est intégré au standard d'atelier permanent.</w:t>
              <w:br/>
              <w:br/>
              <w:t>Date : ____/____/202__   -   Signature Chef d'Atelier :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before="0" w:after="40"/>
      </w:pPr>
      <w:r>
        <w:rPr>
          <w:rFonts w:ascii="Arial" w:hAnsi="Arial"/>
          <w:b/>
          <w:color w:val="C5A065"/>
          <w:sz w:val="15"/>
        </w:rPr>
        <w:t>CABINET DELACOUR  •  PROTOCOLE D'APPLICATION TERRAIN  •  OUTIL 5.4 (PAGE 2 / 2)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6"/>
            <w:tcW w:w="10200" w:type="dxa"/>
            <w:shd w:fill="1B4D3E"/>
            <w:tcMar>
              <w:top w:w="30" w:type="dxa"/>
              <w:bottom w:w="30" w:type="dxa"/>
              <w:left w:w="80" w:type="dxa"/>
              <w:right w:w="80" w:type="dxa"/>
            </w:tcMar>
            <w:tcBorders>
              <w:left w:val="single" w:sz="24" w:space="0" w:color="C5A065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C5A065"/>
                <w:sz w:val="16"/>
              </w:rPr>
              <w:t>1. PRINCIPE DIRECTEUR &amp; RÈGLE D'OR DU DIRIGEANT</w:t>
            </w:r>
          </w:p>
          <w:p>
            <w:pPr>
              <w:spacing w:after="0"/>
            </w:pPr>
            <w:r>
              <w:rPr>
                <w:rFonts w:ascii="Georgia" w:hAnsi="Georgia"/>
                <w:b/>
                <w:color w:val="FFFFFF"/>
                <w:sz w:val="17"/>
              </w:rPr>
              <w:t>« L'amélioration continue n'existe que si l'on installe des solutions qui rendent l'erreur physiquement ou logiquement impossible et qu'on vérifie leur efficacité réelle à J+30. »</w:t>
            </w:r>
          </w:p>
        </w:tc>
      </w:tr>
    </w:tbl>
    <w:p>
      <w:pPr>
        <w:spacing w:before="80" w:after="40"/>
      </w:pPr>
      <w:r>
        <w:rPr>
          <w:rFonts w:ascii="Georgia" w:hAnsi="Georgia"/>
          <w:b/>
          <w:color w:val="1B4D3E"/>
          <w:sz w:val="17"/>
        </w:rPr>
        <w:t>2. PROTOCOLE D'APPLICATION EN 3 ÉTAPES CLÉS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06"/>
        <w:gridCol w:w="5306"/>
      </w:tblGrid>
      <w:tr>
        <w:tc>
          <w:tcPr>
            <w:tcW w:type="dxa" w:w="4"/>
            <w:tcW w:w="2600" w:type="dxa"/>
            <w:shd w:fill="E8F0EC"/>
            <w:tcMar>
              <w:top w:w="16" w:type="dxa"/>
              <w:bottom w:w="16" w:type="dxa"/>
              <w:left w:w="50" w:type="dxa"/>
              <w:right w:w="5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5"/>
              </w:rPr>
              <w:t>Étape 1 : Bricolage simple &amp; robuste</w:t>
            </w:r>
          </w:p>
        </w:tc>
        <w:tc>
          <w:tcPr>
            <w:tcW w:type="dxa" w:w="12"/>
            <w:tcW w:w="7600" w:type="dxa"/>
            <w:shd w:fill="FFFFFF"/>
            <w:tcMar>
              <w:top w:w="16" w:type="dxa"/>
              <w:bottom w:w="16" w:type="dxa"/>
              <w:left w:w="60" w:type="dxa"/>
              <w:right w:w="6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52822"/>
                <w:sz w:val="15"/>
              </w:rPr>
              <w:t>Privilégier les solutions simples : butée asymétrique, couleur distincte, verrouillage logiciel dans l'ERP.</w:t>
            </w:r>
          </w:p>
        </w:tc>
      </w:tr>
      <w:tr>
        <w:tc>
          <w:tcPr>
            <w:tcW w:type="dxa" w:w="4"/>
            <w:tcW w:w="2600" w:type="dxa"/>
            <w:shd w:fill="E8F0EC"/>
            <w:tcMar>
              <w:top w:w="16" w:type="dxa"/>
              <w:bottom w:w="16" w:type="dxa"/>
              <w:left w:w="50" w:type="dxa"/>
              <w:right w:w="5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5"/>
              </w:rPr>
              <w:t>Étape 2 : Test de contournement immédiat</w:t>
            </w:r>
          </w:p>
        </w:tc>
        <w:tc>
          <w:tcPr>
            <w:tcW w:type="dxa" w:w="12"/>
            <w:tcW w:w="7600" w:type="dxa"/>
            <w:shd w:fill="F9F9F7"/>
            <w:tcMar>
              <w:top w:w="16" w:type="dxa"/>
              <w:bottom w:w="16" w:type="dxa"/>
              <w:left w:w="60" w:type="dxa"/>
              <w:right w:w="6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52822"/>
                <w:sz w:val="15"/>
              </w:rPr>
              <w:t>Tenter volontairement de tromper le système. Le détrompeur doit résister et bloquer le geste incorrect.</w:t>
            </w:r>
          </w:p>
        </w:tc>
      </w:tr>
      <w:tr>
        <w:tc>
          <w:tcPr>
            <w:tcW w:type="dxa" w:w="4"/>
            <w:tcW w:w="2600" w:type="dxa"/>
            <w:shd w:fill="E8F0EC"/>
            <w:tcMar>
              <w:top w:w="16" w:type="dxa"/>
              <w:bottom w:w="16" w:type="dxa"/>
              <w:left w:w="50" w:type="dxa"/>
              <w:right w:w="5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5"/>
              </w:rPr>
              <w:t>Étape 3 : Audit J+30 incontournable</w:t>
            </w:r>
          </w:p>
        </w:tc>
        <w:tc>
          <w:tcPr>
            <w:tcW w:type="dxa" w:w="12"/>
            <w:tcW w:w="7600" w:type="dxa"/>
            <w:shd w:fill="FFFFFF"/>
            <w:tcMar>
              <w:top w:w="16" w:type="dxa"/>
              <w:bottom w:w="16" w:type="dxa"/>
              <w:left w:w="60" w:type="dxa"/>
              <w:right w:w="6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52822"/>
                <w:sz w:val="15"/>
              </w:rPr>
              <w:t>Bloquer la date de contrôle à J+30 dans l'agenda. Zéro clôture de dossier d'amélioration sans ce constat signé.</w:t>
            </w:r>
          </w:p>
        </w:tc>
      </w:tr>
    </w:tbl>
    <w:p>
      <w:pPr>
        <w:spacing w:before="80" w:after="40"/>
      </w:pPr>
      <w:r>
        <w:rPr>
          <w:rFonts w:ascii="Georgia" w:hAnsi="Georgia"/>
          <w:b/>
          <w:color w:val="1B4D3E"/>
          <w:sz w:val="17"/>
        </w:rPr>
        <w:t>3. BOÎTE À IDÉES : 10 DÉTROMPEURS POKA-YOKE PAR PROCESSUS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06"/>
        <w:gridCol w:w="5306"/>
      </w:tblGrid>
      <w:tr>
        <w:tc>
          <w:tcPr>
            <w:tcW w:type="dxa" w:w="4"/>
            <w:tcW w:w="2600" w:type="dxa"/>
            <w:shd w:fill="F9F9F7"/>
            <w:tcMar>
              <w:top w:w="14" w:type="dxa"/>
              <w:bottom w:w="14" w:type="dxa"/>
              <w:left w:w="50" w:type="dxa"/>
              <w:right w:w="50" w:type="dxa"/>
            </w:tcMar>
            <w:tcBorders>
              <w:left w:val="single" w:sz="16" w:space="0" w:color="C5A065"/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5"/>
              </w:rPr>
              <w:t>P1 Direction / Devis</w:t>
            </w:r>
          </w:p>
        </w:tc>
        <w:tc>
          <w:tcPr>
            <w:tcW w:type="dxa" w:w="12"/>
            <w:tcW w:w="7600" w:type="dxa"/>
            <w:shd w:fill="FFFFFF"/>
            <w:tcMar>
              <w:top w:w="14" w:type="dxa"/>
              <w:bottom w:w="14" w:type="dxa"/>
              <w:left w:w="60" w:type="dxa"/>
              <w:right w:w="6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52822"/>
                <w:sz w:val="15"/>
              </w:rPr>
              <w:t>• Blocage ERP automatique si marge brute &lt; seuil   • Double signature bancaire obligatoire</w:t>
            </w:r>
          </w:p>
        </w:tc>
      </w:tr>
      <w:tr>
        <w:tc>
          <w:tcPr>
            <w:tcW w:type="dxa" w:w="4"/>
            <w:tcW w:w="2600" w:type="dxa"/>
            <w:shd w:fill="FFFFFF"/>
            <w:tcMar>
              <w:top w:w="14" w:type="dxa"/>
              <w:bottom w:w="14" w:type="dxa"/>
              <w:left w:w="50" w:type="dxa"/>
              <w:right w:w="50" w:type="dxa"/>
            </w:tcMar>
            <w:tcBorders>
              <w:left w:val="single" w:sz="16" w:space="0" w:color="C5A065"/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5"/>
              </w:rPr>
              <w:t>P2 Commerce / Vente</w:t>
            </w:r>
          </w:p>
        </w:tc>
        <w:tc>
          <w:tcPr>
            <w:tcW w:type="dxa" w:w="12"/>
            <w:tcW w:w="7600" w:type="dxa"/>
            <w:shd w:fill="F9F9F7"/>
            <w:tcMar>
              <w:top w:w="14" w:type="dxa"/>
              <w:bottom w:w="14" w:type="dxa"/>
              <w:left w:w="60" w:type="dxa"/>
              <w:right w:w="6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52822"/>
                <w:sz w:val="15"/>
              </w:rPr>
              <w:t>• Acompte 30% bloquant la génération de l'OF   • Devis type avec cases obligatoires</w:t>
            </w:r>
          </w:p>
        </w:tc>
      </w:tr>
      <w:tr>
        <w:tc>
          <w:tcPr>
            <w:tcW w:type="dxa" w:w="4"/>
            <w:tcW w:w="2600" w:type="dxa"/>
            <w:shd w:fill="F9F9F7"/>
            <w:tcMar>
              <w:top w:w="14" w:type="dxa"/>
              <w:bottom w:w="14" w:type="dxa"/>
              <w:left w:w="50" w:type="dxa"/>
              <w:right w:w="50" w:type="dxa"/>
            </w:tcMar>
            <w:tcBorders>
              <w:left w:val="single" w:sz="16" w:space="0" w:color="C5A065"/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5"/>
              </w:rPr>
              <w:t>P3 Opérations / Atelier</w:t>
            </w:r>
          </w:p>
        </w:tc>
        <w:tc>
          <w:tcPr>
            <w:tcW w:type="dxa" w:w="12"/>
            <w:tcW w:w="7600" w:type="dxa"/>
            <w:shd w:fill="FFFFFF"/>
            <w:tcMar>
              <w:top w:w="14" w:type="dxa"/>
              <w:bottom w:w="14" w:type="dxa"/>
              <w:left w:w="60" w:type="dxa"/>
              <w:right w:w="6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52822"/>
                <w:sz w:val="15"/>
              </w:rPr>
              <w:t>• Butée mécanique fixe empêchant le montage inversé   • Téton asymétrique de positionnement</w:t>
            </w:r>
          </w:p>
        </w:tc>
      </w:tr>
      <w:tr>
        <w:tc>
          <w:tcPr>
            <w:tcW w:type="dxa" w:w="4"/>
            <w:tcW w:w="2600" w:type="dxa"/>
            <w:shd w:fill="FFFFFF"/>
            <w:tcMar>
              <w:top w:w="14" w:type="dxa"/>
              <w:bottom w:w="14" w:type="dxa"/>
              <w:left w:w="50" w:type="dxa"/>
              <w:right w:w="50" w:type="dxa"/>
            </w:tcMar>
            <w:tcBorders>
              <w:left w:val="single" w:sz="16" w:space="0" w:color="C5A065"/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5"/>
              </w:rPr>
              <w:t>P4 RH / Compétences</w:t>
            </w:r>
          </w:p>
        </w:tc>
        <w:tc>
          <w:tcPr>
            <w:tcW w:type="dxa" w:w="12"/>
            <w:tcW w:w="7600" w:type="dxa"/>
            <w:shd w:fill="F9F9F7"/>
            <w:tcMar>
              <w:top w:w="14" w:type="dxa"/>
              <w:bottom w:w="14" w:type="dxa"/>
              <w:left w:w="60" w:type="dxa"/>
              <w:right w:w="6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52822"/>
                <w:sz w:val="15"/>
              </w:rPr>
              <w:t>• Code couleur des bacs et outillages   • Fiche standard plastifiée avec photos à hauteur des yeux</w:t>
            </w:r>
          </w:p>
        </w:tc>
      </w:tr>
      <w:tr>
        <w:tc>
          <w:tcPr>
            <w:tcW w:type="dxa" w:w="4"/>
            <w:tcW w:w="2600" w:type="dxa"/>
            <w:shd w:fill="F9F9F7"/>
            <w:tcMar>
              <w:top w:w="14" w:type="dxa"/>
              <w:bottom w:w="14" w:type="dxa"/>
              <w:left w:w="50" w:type="dxa"/>
              <w:right w:w="50" w:type="dxa"/>
            </w:tcMar>
            <w:tcBorders>
              <w:left w:val="single" w:sz="16" w:space="0" w:color="C5A065"/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5"/>
              </w:rPr>
              <w:t>P5 Qualité / Contrôle</w:t>
            </w:r>
          </w:p>
        </w:tc>
        <w:tc>
          <w:tcPr>
            <w:tcW w:type="dxa" w:w="12"/>
            <w:tcW w:w="7600" w:type="dxa"/>
            <w:shd w:fill="FFFFFF"/>
            <w:tcMar>
              <w:top w:w="14" w:type="dxa"/>
              <w:bottom w:w="14" w:type="dxa"/>
              <w:left w:w="60" w:type="dxa"/>
              <w:right w:w="6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52822"/>
                <w:sz w:val="15"/>
              </w:rPr>
              <w:t>• Gabarit 'passe / passe pas'   • Scan code-barre bloquant l'édition de l'étiquette d'expédition</w:t>
            </w:r>
          </w:p>
        </w:tc>
      </w:tr>
    </w:tbl>
    <w:p>
      <w:pPr>
        <w:spacing w:before="80" w:after="40"/>
      </w:pPr>
      <w:r>
        <w:rPr>
          <w:rFonts w:ascii="Georgia" w:hAnsi="Georgia"/>
          <w:b/>
          <w:color w:val="1B4D3E"/>
          <w:sz w:val="17"/>
        </w:rPr>
        <w:t>4. RETOUR D'EXPÉRIENCE CONCRET (CAS RÉEL PME)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6"/>
            <w:tcW w:w="10200" w:type="dxa"/>
            <w:shd w:fill="F4F8F5"/>
            <w:tcMar>
              <w:top w:w="18" w:type="dxa"/>
              <w:bottom w:w="18" w:type="dxa"/>
              <w:left w:w="60" w:type="dxa"/>
              <w:right w:w="6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1B4D3E"/>
                <w:sz w:val="15"/>
              </w:rPr>
              <w:t>SITUATION &amp; IMPACT BUSINESS : Tolerie Industrielle &amp; Serrurerie (22 salariés)</w:t>
            </w:r>
          </w:p>
          <w:p>
            <w:pPr>
              <w:spacing w:after="0"/>
            </w:pPr>
            <w:r>
              <w:rPr>
                <w:rFonts w:ascii="Arial" w:hAnsi="Arial"/>
                <w:color w:val="152822"/>
                <w:sz w:val="15"/>
              </w:rPr>
              <w:t>Constat initial : Une charnière sur 15 montée à l'envers sur chantier nécessitant un démontage complet chez le client final (coût : 5 500 €/an).</w:t>
              <w:br/>
              <w:t>Action mise en œuvre : Conception d'une cale avec téton asymétrique de 3 mm empêchant le vissage à l'envers. Coût : 45 €.</w:t>
              <w:br/>
              <w:t>Résultat obtenu : Contrôle à J+30 : 0 défaut sur 580 portes, coût de réalisation rentabilisé dès le premier jour.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576" w:right="648" w:bottom="576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10512"/>
      </w:tabs>
    </w:pPr>
    <w:r>
      <w:rPr>
        <w:rFonts w:ascii="Arial" w:hAnsi="Arial"/>
        <w:color w:val="787878"/>
        <w:sz w:val="15"/>
      </w:rPr>
      <w:t>Cabinet Delacour - contact@cabinetdelacour.com</w:t>
    </w:r>
    <w:r>
      <w:rPr>
        <w:rFonts w:ascii="Arial" w:hAnsi="Arial"/>
        <w:color w:val="787878"/>
        <w:sz w:val="15"/>
      </w:rPr>
      <w:tab/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7878"/>
        <w:sz w:val="15"/>
      </w:rPr>
      <w:t>CABINET DELACOUR - PERFORMANCE &amp; RENTABILITE PME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