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k0txrfa8xt07" w:id="0"/>
      <w:bookmarkEnd w:id="0"/>
      <w:r w:rsidDel="00000000" w:rsidR="00000000" w:rsidRPr="00000000">
        <w:rPr>
          <w:rtl w:val="0"/>
        </w:rPr>
        <w:t xml:space="preserve">Banknote Authenticity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ajdoqgqffcyu" w:id="1"/>
      <w:bookmarkEnd w:id="1"/>
      <w:r w:rsidDel="00000000" w:rsidR="00000000" w:rsidRPr="00000000">
        <w:rPr>
          <w:rtl w:val="0"/>
        </w:rPr>
        <w:t xml:space="preserve">Machine Learning - Project Proposal - 05/12/2017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Miriam Riefel</w:t>
        <w:tab/>
        <w:t xml:space="preserve">11332549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Delanie van der Meulen 10729038</w:t>
      </w:r>
    </w:p>
    <w:p w:rsidR="00000000" w:rsidDel="00000000" w:rsidP="00000000" w:rsidRDefault="00000000" w:rsidRPr="00000000">
      <w:pPr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          Francis Mocsin</w:t>
        <w:tab/>
        <w:t xml:space="preserve">11426896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i178iod08qr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is obtained from genuine and forged banknote-like specimen. For the digitization of the images, an industrial print used for scanning the banknotes was used. The final images are 400x400 pixels. </w:t>
      </w:r>
      <w:r w:rsidDel="00000000" w:rsidR="00000000" w:rsidRPr="00000000">
        <w:rPr>
          <w:rtl w:val="0"/>
        </w:rPr>
        <w:t xml:space="preserve">Due to the object lens and distance to the investigated object gray-scale pictures with a resolution of about 660 dpi were gained. Wavelet Transform tool were used to extract features from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dataset consists of values of visual attributes of bank notes.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includes 1372 examples and 5 attributes, including the 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variance of Wavelet Transformed image (continuous)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skewness of Wavelet Transformed image (continuous)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curtosis of Wavelet Transformed image (continuous)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 entropy of image (continuous)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Label : 1: forged banknote / 0: real banknote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ghqslm1hh8" w:id="3"/>
      <w:bookmarkEnd w:id="3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predicts whether banknote is forged or real, based on visual attributes. This is a classification of two classes: 0/1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g2kabkczqhy" w:id="4"/>
      <w:bookmarkEnd w:id="4"/>
      <w:r w:rsidDel="00000000" w:rsidR="00000000" w:rsidRPr="00000000">
        <w:rPr>
          <w:rtl w:val="0"/>
        </w:rPr>
        <w:t xml:space="preserve">Classification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Classification algorithms: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They will be evaluated using error, accuracy, tp-rate, fp-rate and precision.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mqwvebn1yz6" w:id="5"/>
      <w:bookmarkEnd w:id="5"/>
      <w:r w:rsidDel="00000000" w:rsidR="00000000" w:rsidRPr="00000000">
        <w:rPr>
          <w:rtl w:val="0"/>
        </w:rPr>
        <w:t xml:space="preserve">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https://archive.ics.uci.edu/ml/datasets/banknote+authentication#</w:t>
        </w:r>
      </w:hyperlink>
      <w:r w:rsidDel="00000000" w:rsidR="00000000" w:rsidRPr="00000000">
        <w:rPr>
          <w:sz w:val="20"/>
          <w:szCs w:val="20"/>
          <w:rtl w:val="0"/>
        </w:rPr>
        <w:t xml:space="preserve"> (dataset)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https://www.researchgate.net/publication/266673146_Banknote_Authentication</w:t>
        </w:r>
      </w:hyperlink>
      <w:r w:rsidDel="00000000" w:rsidR="00000000" w:rsidRPr="00000000">
        <w:rPr>
          <w:sz w:val="20"/>
          <w:szCs w:val="20"/>
          <w:rtl w:val="0"/>
        </w:rPr>
        <w:t xml:space="preserve"> (similar research)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http://ieeexplore.ieee.org/stamp/stamp.jsp?arnumber=1699359</w:t>
        </w:r>
      </w:hyperlink>
      <w:r w:rsidDel="00000000" w:rsidR="00000000" w:rsidRPr="00000000">
        <w:rPr>
          <w:sz w:val="20"/>
          <w:szCs w:val="20"/>
          <w:rtl w:val="0"/>
        </w:rPr>
        <w:t xml:space="preserve"> (similar research with same dataset)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anknote+authentication#" TargetMode="External"/><Relationship Id="rId7" Type="http://schemas.openxmlformats.org/officeDocument/2006/relationships/hyperlink" Target="https://www.researchgate.net/publication/266673146_Banknote_Authentication" TargetMode="External"/><Relationship Id="rId8" Type="http://schemas.openxmlformats.org/officeDocument/2006/relationships/hyperlink" Target="http://ieeexplore.ieee.org/stamp/stamp.jsp?arnumber=1699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