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PROPOSTA — VERSÃO INTERNA</w:t>
      </w:r>
    </w:p>
    <w:p>
      <w:pPr>
        <w:pStyle w:val="Heading1"/>
      </w:pPr>
      <w:r>
        <w:rPr>
          <w:color w:val="1E3A5F"/>
        </w:rPr>
        <w:t>Plataforma de Monitoramento e Gestão de Processos do TCE</w:t>
      </w:r>
    </w:p>
    <w:p>
      <w:pPr>
        <w:ind w:left="480"/>
      </w:pPr>
      <w:r>
        <w:rPr>
          <w:i/>
          <w:color w:val="444444"/>
        </w:rPr>
        <w:t xml:space="preserve">🔒 </w:t>
      </w:r>
      <w:r>
        <w:rPr>
          <w:b/>
          <w:i/>
          <w:color w:val="444444"/>
        </w:rPr>
        <w:t>USO INTERNO.</w:t>
      </w:r>
      <w:r>
        <w:rPr>
          <w:i/>
          <w:color w:val="444444"/>
        </w:rPr>
        <w:t xml:space="preserve"> Contém município-piloto nominal, dados de viabilidade, estrutura de custos e riscos. Para circular externamente, use [PROPOSTA_PUBLICA.md](PROPOSTA_PUBLICA.md).</w:t>
      </w:r>
    </w:p>
    <w:p>
      <w:pPr>
        <w:pStyle w:val="Heading1"/>
      </w:pPr>
      <w:r>
        <w:rPr>
          <w:color w:val="1E3A5F"/>
        </w:rPr>
        <w:t>1. Resumo executivo</w:t>
      </w:r>
    </w:p>
    <w:p>
      <w:pPr>
        <w:jc w:val="both"/>
      </w:pPr>
      <w:r>
        <w:t>SaaS de monitoramento de processos do TCE-CE, com dois painéis (gestor público e escritório jurídico), alertas automáticos e gestão processual completa.</w:t>
      </w:r>
    </w:p>
    <w:p>
      <w:pPr>
        <w:jc w:val="both"/>
      </w:pPr>
      <w:r>
        <w:rPr>
          <w:b/>
        </w:rPr>
        <w:t>Diferencial central:</w:t>
      </w:r>
      <w:r>
        <w:t xml:space="preserve"> ninguém monitora Tribunais de Contas. Todas as ferramentas jurídicas de mercado — inclusive o líder Astrea, com 120 mil usuários — cobrem apenas a Justiça comum.</w:t>
      </w:r>
    </w:p>
    <w:p>
      <w:pPr>
        <w:jc w:val="both"/>
      </w:pPr>
      <w:r>
        <w:rPr>
          <w:b/>
        </w:rPr>
        <w:t>Viabilidade técnica: confirmada.</w:t>
      </w:r>
      <w:r>
        <w:t xml:space="preserve"> Ver seção 3.</w:t>
      </w:r>
    </w:p>
    <w:p>
      <w:pPr>
        <w:pStyle w:val="Heading1"/>
      </w:pPr>
      <w:r>
        <w:rPr>
          <w:color w:val="1E3A5F"/>
        </w:rPr>
        <w:t>2. Piloto: Horizonte/CE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Município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Horizonte/CE</w:t>
            </w:r>
            <w:r>
              <w:rPr>
                <w:sz w:val="20"/>
              </w:rPr>
              <w:t xml:space="preserve"> — </w:t>
            </w:r>
            <w:r>
              <w:rPr>
                <w:rFonts w:ascii="Consolas" w:hAnsi="Consolas"/>
                <w:sz w:val="20"/>
              </w:rPr>
              <w:t>localidade id = 72</w:t>
            </w:r>
            <w:r>
              <w:rPr>
                <w:sz w:val="20"/>
              </w:rPr>
              <w:t xml:space="preserve"> na API do TCE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Processos disponíveis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2.431</w:t>
            </w:r>
            <w:r>
              <w:rPr>
                <w:sz w:val="20"/>
              </w:rPr>
              <w:t xml:space="preserve"> (verificado em 16/09/2026)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Páginas de listagem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244 (10 por página)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Expansão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184 municípios acessíveis pela mesma API</w:t>
            </w:r>
          </w:p>
        </w:tc>
      </w:tr>
    </w:tbl>
    <w:p/>
    <w:p>
      <w:pPr>
        <w:jc w:val="both"/>
      </w:pPr>
      <w:r>
        <w:t>A arquitetura nasce multi-município: ativar outro município é um toggle no console interno, não desenvolvimento.</w:t>
      </w:r>
    </w:p>
    <w:p>
      <w:pPr>
        <w:pStyle w:val="Heading1"/>
      </w:pPr>
      <w:r>
        <w:rPr>
          <w:color w:val="1E3A5F"/>
        </w:rPr>
        <w:t>3. Viabilidade técnica — o que a investigação revelou</w:t>
      </w:r>
    </w:p>
    <w:p>
      <w:pPr>
        <w:jc w:val="both"/>
      </w:pPr>
      <w:r>
        <w:t xml:space="preserve">Investigação conduzida em </w:t>
      </w:r>
      <w:r>
        <w:rPr>
          <w:b/>
        </w:rPr>
        <w:t>16/09/2026</w:t>
      </w:r>
      <w:r>
        <w:t xml:space="preserve"> sobre o Portal Contexto do TCE-CE.</w:t>
      </w:r>
    </w:p>
    <w:p>
      <w:pPr>
        <w:pStyle w:val="Heading2"/>
      </w:pPr>
      <w:r>
        <w:rPr>
          <w:color w:val="1E3A5F"/>
        </w:rPr>
        <w:t>A descoberta principal</w:t>
      </w:r>
    </w:p>
    <w:p>
      <w:pPr>
        <w:jc w:val="both"/>
      </w:pPr>
      <w:r>
        <w:rPr>
          <w:b/>
        </w:rPr>
        <w:t>O TCE-CE expõe uma API REST pública, sem autenticação, retornando JSON estruturado.</w:t>
      </w:r>
    </w:p>
    <w:p>
      <w:pPr>
        <w:jc w:val="both"/>
      </w:pPr>
      <w:r>
        <w:t>Consequências diretas: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Antes se supunha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Realidade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Raspagem de HTML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API estruturada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Playwright / browser headless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Requisição HTTP simples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Quebra a cada mudança de layout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Contrato estável de dados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Servidor dedicado (VPS)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Serverless viável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Semanas para a camada de coleta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Dias</w:t>
            </w:r>
          </w:p>
        </w:tc>
      </w:tr>
    </w:tbl>
    <w:p/>
    <w:p>
      <w:pPr>
        <w:jc w:val="both"/>
      </w:pPr>
      <w:r>
        <w:t>Isso reduz drasticamente custo, prazo e risco técnico do projeto.</w:t>
      </w:r>
    </w:p>
    <w:p>
      <w:pPr>
        <w:pStyle w:val="Heading2"/>
      </w:pPr>
      <w:r>
        <w:rPr>
          <w:color w:val="1E3A5F"/>
        </w:rPr>
        <w:t>O que a API entrega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Retorna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POST /processos/porLista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Listagem paginada com filtros (município, espécie, relator…)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POST /processos/porNumero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Detalhe completo</w:t>
            </w:r>
            <w:r>
              <w:rPr>
                <w:sz w:val="20"/>
              </w:rPr>
              <w:t>: trâmites, documentos, julgamentos, interessados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GET /tabelas-auxiliares/localidade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184 municípios</w:t>
            </w:r>
          </w:p>
        </w:tc>
      </w:tr>
    </w:tbl>
    <w:p/>
    <w:p>
      <w:pPr>
        <w:jc w:val="both"/>
      </w:pPr>
      <w:r>
        <w:rPr>
          <w:rFonts w:ascii="Consolas" w:hAnsi="Consolas"/>
          <w:sz w:val="18"/>
        </w:rPr>
        <w:t>tramites[].id</w:t>
      </w:r>
      <w:r>
        <w:t xml:space="preserve"> é numérico e crescente → chave natural de deduplicação. </w:t>
      </w:r>
      <w:r>
        <w:rPr>
          <w:b/>
        </w:rPr>
        <w:t>É o mecanismo de detecção de movimentação nova.</w:t>
      </w:r>
    </w:p>
    <w:p>
      <w:pPr>
        <w:pStyle w:val="Heading2"/>
      </w:pPr>
      <w:r>
        <w:rPr>
          <w:color w:val="1E3A5F"/>
        </w:rPr>
        <w:t>Condições operacionais</w:t>
      </w:r>
    </w:p>
    <w:p>
      <w:pPr>
        <w:pStyle w:val="ListBullet"/>
      </w:pPr>
      <w:r>
        <w:rPr>
          <w:b/>
        </w:rPr>
        <w:t>Sem rate limit detectado</w:t>
      </w:r>
      <w:r>
        <w:t xml:space="preserve"> — 5 requisições consecutivas, todas bem-sucedidas, 2–5s cada</w:t>
      </w:r>
    </w:p>
    <w:p>
      <w:pPr>
        <w:pStyle w:val="ListBullet"/>
      </w:pPr>
      <w:r>
        <w:rPr>
          <w:b/>
        </w:rPr>
        <w:t>robots.txt não bloqueia</w:t>
      </w:r>
      <w:r>
        <w:t xml:space="preserve"> a API nem o portal de consulta</w:t>
      </w:r>
    </w:p>
    <w:p>
      <w:pPr>
        <w:pStyle w:val="ListBullet"/>
      </w:pPr>
      <w:r>
        <w:t>Sem Swagger/documentação oficial publicada</w:t>
      </w:r>
    </w:p>
    <w:p>
      <w:pPr>
        <w:ind w:left="480"/>
      </w:pPr>
      <w:r>
        <w:rPr>
          <w:i/>
          <w:color w:val="444444"/>
        </w:rPr>
        <w:t xml:space="preserve">⚠️ </w:t>
      </w:r>
      <w:r>
        <w:rPr>
          <w:b/>
          <w:i/>
          <w:color w:val="444444"/>
        </w:rPr>
        <w:t>Risco a mitigar:</w:t>
      </w:r>
      <w:r>
        <w:rPr>
          <w:i/>
          <w:color w:val="444444"/>
        </w:rPr>
        <w:t xml:space="preserve"> a API não é versionada e não tem documentação pública. Pode mudar sem aviso. O </w:t>
      </w:r>
      <w:r>
        <w:rPr>
          <w:rFonts w:ascii="Consolas" w:hAnsi="Consolas"/>
          <w:i/>
          <w:color w:val="444444"/>
          <w:sz w:val="18"/>
        </w:rPr>
        <w:t>TceClient</w:t>
      </w:r>
      <w:r>
        <w:rPr>
          <w:i/>
          <w:color w:val="444444"/>
        </w:rPr>
        <w:t xml:space="preserve"> valida o formato da resposta e falha alto se o contrato mudar, em vez de gravar dado corrompido.</w:t>
      </w:r>
    </w:p>
    <w:p>
      <w:pPr>
        <w:jc w:val="both"/>
      </w:pPr>
      <w:r>
        <w:t>Detalhamento completo em [API_TCE.md](../API_TCE.md).</w:t>
      </w:r>
    </w:p>
    <w:p>
      <w:pPr>
        <w:pStyle w:val="Heading1"/>
      </w:pPr>
      <w:r>
        <w:rPr>
          <w:color w:val="1E3A5F"/>
        </w:rPr>
        <w:t>4. Seção 4 da proposta pública: o risco e como foi tratado</w:t>
      </w:r>
    </w:p>
    <w:p>
      <w:pPr>
        <w:jc w:val="both"/>
      </w:pPr>
      <w:r>
        <w:t xml:space="preserve">A prospecção ativa de gestores é o maior ativo comercial </w:t>
      </w:r>
      <w:r>
        <w:rPr>
          <w:b/>
        </w:rPr>
        <w:t>e a maior exposição jurídica</w:t>
      </w:r>
      <w:r>
        <w:t xml:space="preserve"> do projeto. Três frentes:</w:t>
      </w:r>
    </w:p>
    <w:p>
      <w:pPr>
        <w:pStyle w:val="Heading2"/>
      </w:pPr>
      <w:r>
        <w:rPr>
          <w:color w:val="1E3A5F"/>
        </w:rPr>
        <w:t>4.1 LGPD</w:t>
      </w:r>
    </w:p>
    <w:p>
      <w:pPr>
        <w:jc w:val="both"/>
      </w:pPr>
      <w:r>
        <w:t>Dado público não é dado livre. A finalidade original (transparência) não autoriza automaticamente a finalidade nova (prospecção).</w:t>
      </w:r>
    </w:p>
    <w:p>
      <w:pPr>
        <w:jc w:val="both"/>
      </w:pPr>
      <w:r>
        <w:rPr>
          <w:b/>
        </w:rPr>
        <w:t>Tratamento:</w:t>
      </w:r>
      <w:r>
        <w:t xml:space="preserve"> base de legítimo interesse (Art. 7º, IX), com teste de balanceamento documentado, opt-out funcional e permanente, e origem do dado declarada no primeiro contato.</w:t>
      </w:r>
    </w:p>
    <w:p>
      <w:pPr>
        <w:pStyle w:val="Heading2"/>
      </w:pPr>
      <w:r>
        <w:rPr>
          <w:color w:val="1E3A5F"/>
        </w:rPr>
        <w:t>4.2 Ética profissional (OAB)</w:t>
      </w:r>
    </w:p>
    <w:p>
      <w:pPr>
        <w:jc w:val="both"/>
      </w:pPr>
      <w:r>
        <w:t>O Código de Ética veda captação de clientela. Escritório abordando gestor com "vi que você tem processo no TCE" pode configurar infração disciplinar.</w:t>
      </w:r>
    </w:p>
    <w:p>
      <w:pPr>
        <w:jc w:val="both"/>
      </w:pPr>
      <w:r>
        <w:rPr>
          <w:b/>
        </w:rPr>
        <w:t>Tratamento — a decisão que viabiliza o modelo: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❌ Não fazemos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✅ Fazemos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Escritório aborda oferecendo serviço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Plataforma</w:t>
            </w:r>
            <w:r>
              <w:rPr>
                <w:sz w:val="20"/>
              </w:rPr>
              <w:t xml:space="preserve"> envia alerta informativo gratuito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Alerta assinado por advogado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Alerta institucional, da plataforma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Lista de prospecção entregue ao escritório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Escritório </w:t>
            </w:r>
            <w:r>
              <w:rPr>
                <w:b/>
                <w:sz w:val="20"/>
              </w:rPr>
              <w:t>não</w:t>
            </w:r>
            <w:r>
              <w:rPr>
                <w:sz w:val="20"/>
              </w:rPr>
              <w:t xml:space="preserve"> recebe lista de não-clientes</w:t>
            </w:r>
          </w:p>
        </w:tc>
      </w:tr>
    </w:tbl>
    <w:p/>
    <w:p>
      <w:pPr>
        <w:ind w:left="480"/>
      </w:pPr>
      <w:r>
        <w:rPr>
          <w:b/>
          <w:i/>
          <w:color w:val="444444"/>
        </w:rPr>
        <w:t>Regra crítica:</w:t>
      </w:r>
      <w:r>
        <w:rPr>
          <w:i/>
          <w:color w:val="444444"/>
        </w:rPr>
        <w:t xml:space="preserve"> entregar lista de gestores não-clientes ao escritório transfere o risco disciplinar para o cliente e recria exatamente o problema que o posicionamento evita. </w:t>
      </w:r>
      <w:r>
        <w:rPr>
          <w:b/>
          <w:i/>
          <w:color w:val="444444"/>
        </w:rPr>
        <w:t>Não fazer, em nenhuma hipótese.</w:t>
      </w:r>
    </w:p>
    <w:p>
      <w:pPr>
        <w:pStyle w:val="Heading2"/>
      </w:pPr>
      <w:r>
        <w:rPr>
          <w:color w:val="1E3A5F"/>
        </w:rPr>
        <w:t>4.3 Termos de uso do TCE</w:t>
      </w:r>
    </w:p>
    <w:p>
      <w:pPr>
        <w:jc w:val="both"/>
      </w:pPr>
      <w:r>
        <w:rPr>
          <w:b/>
        </w:rPr>
        <w:t>Pendência bloqueante.</w:t>
      </w:r>
      <w:r>
        <w:t xml:space="preserve"> Localizar os Termos de Uso do Portal Contexto na Fase 0. Se restringirem uso automatizado, formalizar pedido de acesso a dados abertos junto ao TCE antes de prosseguir.</w:t>
      </w:r>
    </w:p>
    <w:p>
      <w:pPr>
        <w:jc w:val="both"/>
      </w:pPr>
      <w:r>
        <w:t>Análise completa em [CONFORMIDADE.md](../CONFORMIDADE.md).</w:t>
      </w:r>
    </w:p>
    <w:p>
      <w:pPr>
        <w:pStyle w:val="Heading1"/>
      </w:pPr>
      <w:r>
        <w:rPr>
          <w:color w:val="1E3A5F"/>
        </w:rPr>
        <w:t>5. Cronograma e investimento</w:t>
      </w:r>
    </w:p>
    <w:p>
      <w:pPr>
        <w:pStyle w:val="Heading2"/>
      </w:pPr>
      <w:r>
        <w:rPr>
          <w:color w:val="1E3A5F"/>
        </w:rPr>
        <w:t>Fases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Duração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Entrega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0 — Spike técnico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 sem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Validação e decisão go/no-go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 — Fundação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 sem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Auth, schema, RLS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 — Ingestão + Console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 sem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Horizonte sincronizado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 — Detecção + Notificação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 sem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 produto funciona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 — Painel Escritório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 sem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Cliente opera sozinho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 — Painel Gestor + Peças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 sem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Piloto vendável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Subtotal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14 sem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Produto comercializável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 — Atividades + Ajuda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2–3 sem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Kanban, Central de Ajuda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 — Indicadores + 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 sem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Relatórios, modelos, IA</w:t>
            </w:r>
          </w:p>
        </w:tc>
      </w:tr>
    </w:tbl>
    <w:p/>
    <w:p>
      <w:pPr>
        <w:jc w:val="both"/>
      </w:pPr>
      <w:r>
        <w:rPr>
          <w:b/>
        </w:rPr>
        <w:t>Marco comercial: fim da Fase 5.</w:t>
      </w:r>
      <w:r>
        <w:t xml:space="preserve"> Fases 6–7 são expansão de valor — vendáveis como evolução, não pré-requisito.</w:t>
      </w:r>
    </w:p>
    <w:p>
      <w:pPr>
        <w:pStyle w:val="Heading2"/>
      </w:pPr>
      <w:r>
        <w:rPr>
          <w:color w:val="1E3A5F"/>
        </w:rPr>
        <w:t>Custos de infraestrutura no piloto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Serviço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Plano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Custo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Supabase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Free (500 MB)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R$ 0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Free / Pro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R$ 0 a ~US$ 20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Resend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Free (3.000 e-mails/mês)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R$ 0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WhatsApp Cloud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1.000 conversas/mês grátis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R$ 0</w:t>
            </w:r>
          </w:p>
        </w:tc>
      </w:tr>
    </w:tbl>
    <w:p/>
    <w:p>
      <w:pPr>
        <w:jc w:val="both"/>
      </w:pPr>
      <w:r>
        <w:rPr>
          <w:b/>
        </w:rPr>
        <w:t>O piloto cabe em tier gratuito</w:t>
      </w:r>
      <w:r>
        <w:t>, exceto se a notificação precisar rodar a cada 15 minutos (exige Vercel Pro).</w:t>
      </w:r>
    </w:p>
    <w:p>
      <w:pPr>
        <w:ind w:left="480"/>
      </w:pPr>
      <w:r>
        <w:rPr>
          <w:i/>
          <w:color w:val="444444"/>
        </w:rPr>
        <w:t>Custo de infraestrutura é irrelevante nesta fase. O investimento é desenvolvimento.</w:t>
      </w:r>
    </w:p>
    <w:p>
      <w:pPr>
        <w:pStyle w:val="Heading2"/>
      </w:pPr>
      <w:r>
        <w:rPr>
          <w:color w:val="1E3A5F"/>
        </w:rPr>
        <w:t>A economia estrutural</w:t>
      </w:r>
    </w:p>
    <w:p>
      <w:pPr>
        <w:jc w:val="both"/>
      </w:pPr>
      <w:r>
        <w:t xml:space="preserve">A coleta é </w:t>
      </w:r>
      <w:r>
        <w:rPr>
          <w:b/>
        </w:rPr>
        <w:t>por município</w:t>
      </w:r>
      <w:r>
        <w:t>, não por assinante. Sincronizar Horizonte custa o mesmo com 1 ou 50 escritórios clientes.</w:t>
      </w:r>
    </w:p>
    <w:p>
      <w:pPr>
        <w:jc w:val="both"/>
      </w:pPr>
      <w:r>
        <w:rPr>
          <w:b/>
        </w:rPr>
        <w:t>Custo marginal por cliente é próximo de zero.</w:t>
      </w:r>
      <w:r>
        <w:t xml:space="preserve"> É a vantagem que sustenta preço agressivo e municípios ilimitados — e que o Astrea, que cobra por "nomes para captura", não consegue replicar.</w:t>
      </w:r>
    </w:p>
    <w:p>
      <w:pPr>
        <w:pStyle w:val="Heading1"/>
      </w:pPr>
      <w:r>
        <w:rPr>
          <w:color w:val="1E3A5F"/>
        </w:rPr>
        <w:t>6. Análise competitiva — Astrea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Plano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Preço/mês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Processos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Usuários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Storage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Light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Grátis 1 ano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 GB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R$ 209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10 GB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Smart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R$ 379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20 GB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Company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R$ 689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30 GB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VIP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R$ 1.249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2.000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  <w:r>
              <w:rPr>
                <w:sz w:val="20"/>
              </w:rPr>
              <w:t>50 GB</w:t>
            </w:r>
          </w:p>
        </w:tc>
      </w:tr>
    </w:tbl>
    <w:p/>
    <w:p>
      <w:pPr>
        <w:jc w:val="both"/>
      </w:pPr>
      <w:r>
        <w:t>120 mil usuários, 4,8/5. Trial de 10 dias sem cartão.</w:t>
      </w:r>
    </w:p>
    <w:p>
      <w:pPr>
        <w:jc w:val="both"/>
      </w:pPr>
      <w:r>
        <w:rPr>
          <w:b/>
        </w:rPr>
        <w:t>Astrea não cobre Tribunais de Contas.</w:t>
      </w:r>
      <w:r>
        <w:t xml:space="preserve"> Referência de UX e pricing, não concorrente direto.</w:t>
      </w:r>
    </w:p>
    <w:p>
      <w:pPr>
        <w:pStyle w:val="Heading2"/>
      </w:pPr>
      <w:r>
        <w:rPr>
          <w:color w:val="1E3A5F"/>
        </w:rPr>
        <w:t>Pricing proposto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Plano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Faixa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Processos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Usuários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Storage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WhatsApp/mês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Gratuito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R$ 0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100 MB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R$ 97–149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 GB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Escritório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R$ 349–599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10 GB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1.000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Escritório Plus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R$ 899–1.199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30 GB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  <w:r>
              <w:rPr>
                <w:sz w:val="20"/>
              </w:rPr>
              <w:t>5.000</w:t>
            </w:r>
          </w:p>
        </w:tc>
      </w:tr>
    </w:tbl>
    <w:p/>
    <w:p>
      <w:pPr>
        <w:jc w:val="both"/>
      </w:pPr>
      <w:r>
        <w:rPr>
          <w:b/>
        </w:rPr>
        <w:t>Municípios ilimitados em todos.</w:t>
      </w:r>
    </w:p>
    <w:p>
      <w:pPr>
        <w:jc w:val="both"/>
      </w:pPr>
      <w:r>
        <w:t>Ancoragem: "Escritório" abaixo do Smart (R$ 379) por ser vertical mais estreito, com espaço de upsell.</w:t>
      </w:r>
    </w:p>
    <w:p>
      <w:pPr>
        <w:ind w:left="480"/>
      </w:pPr>
      <w:r>
        <w:rPr>
          <w:b/>
          <w:i/>
          <w:color w:val="444444"/>
        </w:rPr>
        <w:t>Quota de WhatsApp existe para proteger margem.</w:t>
      </w:r>
      <w:r>
        <w:rPr>
          <w:i/>
          <w:color w:val="444444"/>
        </w:rPr>
        <w:t xml:space="preserve"> A Cloud API cobra por conversa; sem teto, cliente com muitos processos gera prejuízo. Quota esgotada </w:t>
      </w:r>
      <w:r>
        <w:rPr>
          <w:b/>
          <w:i/>
          <w:color w:val="444444"/>
        </w:rPr>
        <w:t>degrada para e-mail</w:t>
      </w:r>
      <w:r>
        <w:rPr>
          <w:i/>
          <w:color w:val="444444"/>
        </w:rPr>
        <w:t>, nunca silencia o alerta.</w:t>
      </w:r>
    </w:p>
    <w:p>
      <w:pPr>
        <w:pStyle w:val="Heading1"/>
      </w:pPr>
      <w:r>
        <w:rPr>
          <w:color w:val="1E3A5F"/>
        </w:rPr>
        <w:t>7. Riscos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Risco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Impacto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Termos de uso do TCE restringem automação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🔴 Bloqueante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Verificar na Fase 0; formalizar acesso a dados abertos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API muda sem aviso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Alto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TceClient</w:t>
            </w:r>
            <w:r>
              <w:rPr>
                <w:sz w:val="20"/>
              </w:rPr>
              <w:t xml:space="preserve"> valida shape e falha alto; alerta no console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Questionamento ético (OAB)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Alto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Alerta institucional, sem oferta de serviço; parecer antes do lançamento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Classificação ruim de trâmites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🟠 Alto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Sem ela o cliente desliga o alerta. Regras editáveis + curadoria ativa no piloto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TCE fecha a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Médio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Consulta manual assistida como degradação; negociar acesso institucional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Baixa adesão do gestor a WhatsApp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🟡 Médio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E-mail como canal primário; WhatsApp complementar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Concorrente entra no nicho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🟢 Baixo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Barreira é conhecimento de domínio (prazos, classificação), não software</w:t>
            </w:r>
          </w:p>
        </w:tc>
      </w:tr>
    </w:tbl>
    <w:p/>
    <w:p>
      <w:pPr>
        <w:pStyle w:val="Heading2"/>
      </w:pPr>
      <w:r>
        <w:rPr>
          <w:color w:val="1E3A5F"/>
        </w:rPr>
        <w:t>O risco mais subestimado</w:t>
      </w:r>
    </w:p>
    <w:p>
      <w:pPr>
        <w:jc w:val="both"/>
      </w:pPr>
      <w:r>
        <w:rPr>
          <w:b/>
        </w:rPr>
        <w:t>A classificação de trâmites.</w:t>
      </w:r>
      <w:r>
        <w:t xml:space="preserve"> A maior parte dos registros do TCE é ruído administrativo. Notificar tudo faz o cliente desligar o alerta em uma semana — e um produto de alerta que ninguém lê não tem valor.</w:t>
      </w:r>
    </w:p>
    <w:p>
      <w:pPr>
        <w:jc w:val="both"/>
      </w:pPr>
      <w:r>
        <w:t>Tratamento: regras determinísticas editáveis sem deploy + curadoria ativa durante o piloto. É trabalho contínuo, não entrega única.</w:t>
      </w:r>
    </w:p>
    <w:p>
      <w:pPr>
        <w:pStyle w:val="Heading1"/>
      </w:pPr>
      <w:r>
        <w:rPr>
          <w:color w:val="1E3A5F"/>
        </w:rPr>
        <w:t>8. Decisões tomadas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Decisão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Escolha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Razão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Infraestrutura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 + Supabase (serverless)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API pública elimina necessidade de VPS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Abrangência do piloto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Só Horizonte, arquitetura multi-município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Piloto barato, expansão por toggle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Dados sigilosos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Nunca persistidos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Indefensável perante LGPD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Superadmin vs. suporte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Flags independentes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Acessos quase opostos; fundir concentra poder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Acesso de suporte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Sessão temporária auditada, visível ao cliente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Defensável e vira argumento de venda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Estouro de quota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Bloqueia o novo, preserva o existente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Previsível; cliente nunca perde o que tinha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Municípios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Ilimitados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Custo marginal zero; diferencial competitivo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Financeiro do escritório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Fora de escopo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Projeto do tamanho do MVP</w:t>
            </w:r>
          </w:p>
        </w:tc>
      </w:tr>
    </w:tbl>
    <w:p/>
    <w:p>
      <w:pPr>
        <w:pStyle w:val="Heading1"/>
      </w:pPr>
      <w:r>
        <w:rPr>
          <w:color w:val="1E3A5F"/>
        </w:rPr>
        <w:t>9. Pendências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Pendência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Prazo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Termos de Uso do TCE</w:t>
            </w:r>
            <w:r>
              <w:rPr>
                <w:sz w:val="20"/>
              </w:rPr>
              <w:t xml:space="preserve"> — bloqueante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Fase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Mapear 11 tabelas auxiliares restantes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Fase 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 jurídico LGPD (teste de balanceamento)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Antes do lançamento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Parecer sobre posicionamento OAB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Antes do lançamento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Política de Privacidade e Termos de Uso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Antes do lançamento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Definir DPO e canal do titular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Antes do lançamento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Gateway de pagamento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Fase 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Provedor WhatsApp: Cloud API vs. BSP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Fase 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Nome comercial</w:t>
            </w:r>
            <w:r>
              <w:rPr>
                <w:sz w:val="20"/>
              </w:rPr>
              <w:t xml:space="preserve"> — </w:t>
            </w:r>
            <w:r>
              <w:rPr>
                <w:rFonts w:ascii="Consolas" w:hAnsi="Consolas"/>
                <w:sz w:val="20"/>
              </w:rPr>
              <w:t>ControleProcessoTCE</w:t>
            </w:r>
            <w:r>
              <w:rPr>
                <w:sz w:val="20"/>
              </w:rPr>
              <w:t xml:space="preserve"> é repositório, não marca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Antes do lançamento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Pricing final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Reunião comercial</w:t>
            </w:r>
          </w:p>
        </w:tc>
      </w:tr>
    </w:tbl>
    <w:p/>
    <w:p>
      <w:pPr>
        <w:pStyle w:val="Heading1"/>
      </w:pPr>
      <w:r>
        <w:rPr>
          <w:color w:val="1E3A5F"/>
        </w:rPr>
        <w:t>10. Recomendação</w:t>
      </w:r>
    </w:p>
    <w:p>
      <w:pPr>
        <w:jc w:val="both"/>
      </w:pPr>
      <w:r>
        <w:rPr>
          <w:b/>
        </w:rPr>
        <w:t>Prosseguir</w:t>
      </w:r>
      <w:r>
        <w:t>, com a Fase 0 como condição.</w:t>
      </w:r>
    </w:p>
    <w:p>
      <w:pPr>
        <w:jc w:val="both"/>
      </w:pPr>
      <w:r>
        <w:t>A descoberta da API pública elimina o maior risco técnico e reduz prazo e custo de forma significativa. O nicho está comprovadamente aberto — o líder de mercado, com 120 mil usuários, não atende Tribunais de Contas.</w:t>
      </w:r>
    </w:p>
    <w:p>
      <w:pPr>
        <w:jc w:val="both"/>
      </w:pPr>
      <w:r>
        <w:t xml:space="preserve">O risco remanescente é </w:t>
      </w:r>
      <w:r>
        <w:rPr>
          <w:b/>
        </w:rPr>
        <w:t>jurídico, não técnico</w:t>
      </w:r>
      <w:r>
        <w:t>, e está concentrado na estratégia de prospecção. O reposicionamento do alerta como serviço informativo institucional endereça a parte principal, mas exige validação profissional antes do lançamento comercial.</w:t>
      </w:r>
    </w:p>
    <w:p>
      <w:pPr>
        <w:jc w:val="both"/>
      </w:pPr>
      <w:r>
        <w:rPr>
          <w:b/>
        </w:rPr>
        <w:t>A Fase 0 deve confirmar os Termos de Uso do TCE antes de qualquer investimento em desenvolvimento.</w:t>
      </w:r>
    </w:p>
    <w:p>
      <w:pPr>
        <w:pStyle w:val="Heading1"/>
      </w:pPr>
      <w:r>
        <w:rPr>
          <w:color w:val="1E3A5F"/>
        </w:rPr>
        <w:t>Documentação de referência</w:t>
      </w:r>
    </w:p>
    <w:p>
      <w:pPr>
        <w:pStyle w:val="ListBullet"/>
      </w:pPr>
      <w:r>
        <w:t>[API_TCE.md](../API_TCE.md) — endpoints e campos verificados</w:t>
      </w:r>
    </w:p>
    <w:p>
      <w:pPr>
        <w:pStyle w:val="ListBullet"/>
      </w:pPr>
      <w:r>
        <w:t>[ARQUITETURA.md](../ARQUITETURA.md) — decisões técnicas</w:t>
      </w:r>
    </w:p>
    <w:p>
      <w:pPr>
        <w:pStyle w:val="ListBullet"/>
      </w:pPr>
      <w:r>
        <w:t>[MODELAGEM_DADOS.md](../MODELAGEM_DADOS.md) — schema e RLS</w:t>
      </w:r>
    </w:p>
    <w:p>
      <w:pPr>
        <w:pStyle w:val="ListBullet"/>
      </w:pPr>
      <w:r>
        <w:t>[CONFORMIDADE.md](../CONFORMIDADE.md) — LGPD, OAB, política de coleta</w:t>
      </w:r>
    </w:p>
    <w:p>
      <w:pPr>
        <w:pStyle w:val="ListBullet"/>
      </w:pPr>
      <w:r>
        <w:t>[CONSOLE_INTERNO.md](../CONSOLE_INTERNO.md) — operação e suporte</w:t>
      </w:r>
    </w:p>
    <w:p>
      <w:pPr>
        <w:pStyle w:val="ListBullet"/>
      </w:pPr>
      <w:r>
        <w:t>[PLANO_MVP.md](../PLANO_MVP.md) — fases e guia Vercel/Supabase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Plataforma TCE - USO INTERNO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