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Rule="auto" w:line="240"/>
        <w:jc w:val="left"/>
      </w:pPr>
      <w:r>
        <w:rPr>
          <w:rFonts w:ascii="Calibri" w:hAnsi="Calibri"/>
          <w:b/>
          <w:i w:val="0"/>
          <w:color w:val="1F3A5F"/>
          <w:sz w:val="40"/>
        </w:rPr>
        <w:t>Guia de Aplica??o do Supabase ao Controle UPC</w:t>
      </w:r>
    </w:p>
    <w:p>
      <w:pPr>
        <w:spacing w:before="0" w:after="200" w:lineRule="auto" w:line="240"/>
        <w:jc w:val="left"/>
      </w:pPr>
      <w:r>
        <w:rPr>
          <w:rFonts w:ascii="Calibri" w:hAnsi="Calibri"/>
          <w:b w:val="0"/>
          <w:i/>
          <w:color w:val="555555"/>
          <w:sz w:val="22"/>
        </w:rPr>
        <w:t>Base normativa para Auth, RLS, Storage e padroniza??o de tabelas</w:t>
      </w:r>
    </w:p>
    <w:p>
      <w:pPr>
        <w:shd w:fill="F4F6F9"/>
        <w:spacing w:before="60" w:after="20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Conclus?o operacional: </w:t>
      </w:r>
      <w:r>
        <w:rPr>
          <w:rFonts w:ascii="Calibri" w:hAnsi="Calibri"/>
          <w:b w:val="0"/>
          <w:i w:val="0"/>
          <w:sz w:val="22"/>
        </w:rPr>
        <w:t>a pasta docs/codex_supabase passa a ser a refer?ncia principal para modelagem do banco. No projeto atual, ?Presta??o? significa Controle UPC; por isso, a orienta??o entra como base conceitual, sem renomear o schema existente agora.</w:t>
      </w:r>
    </w:p>
    <w:p>
      <w:pPr>
        <w:pStyle w:val="Heading1"/>
      </w:pPr>
      <w:r>
        <w:t>1. Leitura do projeto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Presta??o: </w:t>
      </w:r>
      <w:r>
        <w:rPr>
          <w:rFonts w:ascii="Calibri" w:hAnsi="Calibri"/>
          <w:b w:val="0"/>
          <w:i w:val="0"/>
          <w:sz w:val="22"/>
        </w:rPr>
        <w:t>no contexto dos documentos, ? o nosso Controle UPC, n?o um sistema distinto.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Papel da pasta: </w:t>
      </w:r>
      <w:r>
        <w:rPr>
          <w:rFonts w:ascii="Calibri" w:hAnsi="Calibri"/>
          <w:b w:val="0"/>
          <w:i w:val="0"/>
          <w:sz w:val="22"/>
        </w:rPr>
        <w:t>virar refer?ncia de arquitetura, seguran?a e modelagem para o banco.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Decis?o de nomenclatura: </w:t>
      </w:r>
      <w:r>
        <w:rPr>
          <w:rFonts w:ascii="Calibri" w:hAnsi="Calibri"/>
          <w:b w:val="0"/>
          <w:i w:val="0"/>
          <w:sz w:val="22"/>
        </w:rPr>
        <w:t>manter o schema atual controle_upc e aplicar a conven??o de prefixos apenas nos novos sistemas.</w:t>
      </w:r>
    </w:p>
    <w:p>
      <w:pPr>
        <w:pStyle w:val="Heading1"/>
      </w:pPr>
      <w:r>
        <w:t>2. Regras que entram j?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Auth central: </w:t>
      </w:r>
      <w:r>
        <w:rPr>
          <w:rFonts w:ascii="Calibri" w:hAnsi="Calibri"/>
          <w:b w:val="0"/>
          <w:i w:val="0"/>
          <w:sz w:val="22"/>
        </w:rPr>
        <w:t>Supabase Auth em auth.users continua sendo a fonte ?nica de login.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Multi-tenant: </w:t>
      </w:r>
      <w:r>
        <w:rPr>
          <w:rFonts w:ascii="Calibri" w:hAnsi="Calibri"/>
          <w:b w:val="0"/>
          <w:i w:val="0"/>
          <w:sz w:val="22"/>
        </w:rPr>
        <w:t>cada usu?rio pode ter mais de um v?nculo com munic?pios e perfis diferentes.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RLS: </w:t>
      </w:r>
      <w:r>
        <w:rPr>
          <w:rFonts w:ascii="Calibri" w:hAnsi="Calibri"/>
          <w:b w:val="0"/>
          <w:i w:val="0"/>
          <w:sz w:val="22"/>
        </w:rPr>
        <w:t>toda tabela sens?vel precisa de pol?ticas antes de produ??o; frontend n?o ? barreira de seguran?a.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Storage: </w:t>
      </w:r>
      <w:r>
        <w:rPr>
          <w:rFonts w:ascii="Calibri" w:hAnsi="Calibri"/>
          <w:b w:val="0"/>
          <w:i w:val="0"/>
          <w:sz w:val="22"/>
        </w:rPr>
        <w:t>arquivos ficam fora do banco; o banco guarda bucket, caminho e metadados.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Prefixo por produto: </w:t>
      </w:r>
      <w:r>
        <w:rPr>
          <w:rFonts w:ascii="Calibri" w:hAnsi="Calibri"/>
          <w:b w:val="0"/>
          <w:i w:val="0"/>
          <w:sz w:val="22"/>
        </w:rPr>
        <w:t>novos sistemas usam portalgov_, prestacao_, digitalizacao_ e juridico_ como padr?o de tabela.</w:t>
      </w:r>
    </w:p>
    <w:p>
      <w:pPr>
        <w:pStyle w:val="Heading1"/>
      </w:pPr>
      <w:r>
        <w:t>3. O que n?o mudar agora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N?o renomear em massa: </w:t>
      </w:r>
      <w:r>
        <w:rPr>
          <w:rFonts w:ascii="Calibri" w:hAnsi="Calibri"/>
          <w:b w:val="0"/>
          <w:i w:val="0"/>
          <w:sz w:val="22"/>
        </w:rPr>
        <w:t>o banco atual j? est? consolidado em controle_upc; migrar tudo para prestacao_ seria caro e arriscado.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N?o fragmentar o Supabase: </w:t>
      </w:r>
      <w:r>
        <w:rPr>
          <w:rFonts w:ascii="Calibri" w:hAnsi="Calibri"/>
          <w:b w:val="0"/>
          <w:i w:val="0"/>
          <w:sz w:val="22"/>
        </w:rPr>
        <w:t>a documenta??o confirma uma instala??o ?nica no in?cio, com separa??o por tenant e RLS.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N?o misturar padr?es: </w:t>
      </w:r>
      <w:r>
        <w:rPr>
          <w:rFonts w:ascii="Calibri" w:hAnsi="Calibri"/>
          <w:b w:val="0"/>
          <w:i w:val="0"/>
          <w:sz w:val="22"/>
        </w:rPr>
        <w:t>evitar conviver com dois esquemas conceituais sem regra formal de compatibilidade.</w:t>
      </w:r>
    </w:p>
    <w:p>
      <w:pPr>
        <w:pStyle w:val="Heading1"/>
      </w:pPr>
      <w:r>
        <w:t>4. Como aplicar no Controle UPC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Estrutura atual: </w:t>
      </w:r>
      <w:r>
        <w:rPr>
          <w:rFonts w:ascii="Calibri" w:hAnsi="Calibri"/>
          <w:b w:val="0"/>
          <w:i w:val="0"/>
          <w:sz w:val="22"/>
        </w:rPr>
        <w:t>preservar o schema controle_upc, as migrations existentes e o fluxo por prestacao_contas_id.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Banco e seguran?a: </w:t>
      </w:r>
      <w:r>
        <w:rPr>
          <w:rFonts w:ascii="Calibri" w:hAnsi="Calibri"/>
          <w:b w:val="0"/>
          <w:i w:val="0"/>
          <w:sz w:val="22"/>
        </w:rPr>
        <w:t>priorizar a modelagem de RLS, v?nculos de usu?rio e filtros por munic?pio antes de expandir funcionalidades.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Expans?o futura: </w:t>
      </w:r>
      <w:r>
        <w:rPr>
          <w:rFonts w:ascii="Calibri" w:hAnsi="Calibri"/>
          <w:b w:val="0"/>
          <w:i w:val="0"/>
          <w:sz w:val="22"/>
        </w:rPr>
        <w:t>usar a conven??o de prefixos da pasta codex_supabase quando novos produtos forem criados.</w:t>
      </w:r>
    </w:p>
    <w:p>
      <w:pPr>
        <w:pStyle w:val="Heading1"/>
      </w:pPr>
      <w:r>
        <w:t>5. Pr?ximos passos recomendados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1. </w:t>
      </w:r>
      <w:r>
        <w:rPr>
          <w:rFonts w:ascii="Calibri" w:hAnsi="Calibri"/>
          <w:b w:val="0"/>
          <w:i w:val="0"/>
          <w:sz w:val="22"/>
        </w:rPr>
        <w:t>mapear quais tabelas atuais precisam de RLS e quais pol?ticas v?o proteg?-las.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2. </w:t>
      </w:r>
      <w:r>
        <w:rPr>
          <w:rFonts w:ascii="Calibri" w:hAnsi="Calibri"/>
          <w:b w:val="0"/>
          <w:i w:val="0"/>
          <w:sz w:val="22"/>
        </w:rPr>
        <w:t>definir o v?nculo entre auth.users e munic?pio/perfil como regra formal do produto.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3. </w:t>
      </w:r>
      <w:r>
        <w:rPr>
          <w:rFonts w:ascii="Calibri" w:hAnsi="Calibri"/>
          <w:b w:val="0"/>
          <w:i w:val="0"/>
          <w:sz w:val="22"/>
        </w:rPr>
        <w:t>documentar a regra: Controle UPC continua em controle_upc; novos produtos seguem prefixo por sistema.</w:t>
      </w:r>
    </w:p>
    <w:p>
      <w:pPr>
        <w:spacing w:before="0" w:after="8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4. </w:t>
      </w:r>
      <w:r>
        <w:rPr>
          <w:rFonts w:ascii="Calibri" w:hAnsi="Calibri"/>
          <w:b w:val="0"/>
          <w:i w:val="0"/>
          <w:sz w:val="22"/>
        </w:rPr>
        <w:t>s? propor renomea??o estrutural se houver uma decis?o expl?cita de migra??o total.</w:t>
      </w:r>
    </w:p>
    <w:p>
      <w:pPr>
        <w:shd w:fill="E8EEF5"/>
        <w:spacing w:before="120" w:after="0" w:lineRule="auto" w:line="300"/>
      </w:pPr>
      <w:r>
        <w:rPr>
          <w:rFonts w:ascii="Calibri" w:hAnsi="Calibri"/>
          <w:b/>
          <w:i w:val="0"/>
          <w:color w:val="1F3A5F"/>
          <w:sz w:val="22"/>
        </w:rPr>
        <w:t xml:space="preserve">Risco principal: </w:t>
      </w:r>
      <w:r>
        <w:rPr>
          <w:rFonts w:ascii="Calibri" w:hAnsi="Calibri"/>
          <w:b w:val="0"/>
          <w:i w:val="0"/>
          <w:sz w:val="22"/>
        </w:rPr>
        <w:t>tratar a documenta??o nova como ordem literal para renomear o banco agora. O uso correto ? como norma de arquitetura e seguran?a para o pr?ximo ciclo de implementa??o.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Rule="auto" w:line="30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 w:lineRule="auto" w:line="3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auto" w:line="30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Rule="auto" w:line="3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Guia de Aplica??o do Supabase ao Controle UPC</dc:title>
  <dc:subject>Aplica??o da documenta??o Supabase ao Controle UPC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