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设备采购合同（基线稿）</w:t>
      </w:r>
    </w:p>
    <w:p>
      <w:pPr>
        <w:pStyle w:val="Heading1"/>
      </w:pPr>
      <w:r>
        <w:t>第1章 总则</w:t>
      </w:r>
    </w:p>
    <w:p>
      <w:r>
        <w:t>本合同由甲方与乙方于 2024 年 3 月 1 日签订，合同编号 HT-2024-018。</w:t>
      </w:r>
    </w:p>
    <w:p>
      <w:r>
        <w:t>合同总金额为 1,200,000 元（含税）。</w:t>
      </w:r>
    </w:p>
    <w:p>
      <w:pPr>
        <w:pStyle w:val="Heading1"/>
      </w:pPr>
      <w:r>
        <w:t>第2章 付款方式</w:t>
      </w:r>
    </w:p>
    <w:p>
      <w:pPr>
        <w:pStyle w:val="Heading2"/>
      </w:pPr>
      <w:r>
        <w:t>2.1 预付款</w:t>
      </w:r>
    </w:p>
    <w:p>
      <w:r>
        <w:t>甲方在合同生效后 10 个工作日内支付预付款，比例为合同总额的 40%。</w:t>
      </w:r>
    </w:p>
    <w:p>
      <w:pPr>
        <w:pStyle w:val="Heading2"/>
      </w:pPr>
      <w:r>
        <w:t>2.2 进度款</w:t>
      </w:r>
    </w:p>
    <w:p>
      <w:r>
        <w:t>进度款按交付节点支付，累计不超过合同总额的 60%。</w:t>
      </w:r>
    </w:p>
    <w:p>
      <w:r>
        <w:t>进度款支付前，乙方需提供等额增值税专用发票。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期次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付款时间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比例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2160"/>
          </w:tcPr>
          <w:p>
            <w:r>
              <w:t>第一期</w:t>
            </w:r>
          </w:p>
        </w:tc>
        <w:tc>
          <w:tcPr>
            <w:tcW w:type="dxa" w:w="2160"/>
          </w:tcPr>
          <w:p>
            <w:r>
              <w:t>合同生效后 10 日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480000</w:t>
            </w:r>
          </w:p>
        </w:tc>
      </w:tr>
      <w:tr>
        <w:tc>
          <w:tcPr>
            <w:tcW w:type="dxa" w:w="2160"/>
          </w:tcPr>
          <w:p>
            <w:r>
              <w:t>第二期</w:t>
            </w:r>
          </w:p>
        </w:tc>
        <w:tc>
          <w:tcPr>
            <w:tcW w:type="dxa" w:w="2160"/>
          </w:tcPr>
          <w:p>
            <w:r>
              <w:t>到货验收合格后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480000</w:t>
            </w:r>
          </w:p>
        </w:tc>
      </w:tr>
      <w:tr>
        <w:tc>
          <w:tcPr>
            <w:tcW w:type="dxa" w:w="2160"/>
          </w:tcPr>
          <w:p>
            <w:r>
              <w:t>第三期</w:t>
            </w:r>
          </w:p>
        </w:tc>
        <w:tc>
          <w:tcPr>
            <w:tcW w:type="dxa" w:w="2160"/>
          </w:tcPr>
          <w:p>
            <w:r>
              <w:t>质保期满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360000</w:t>
            </w:r>
          </w:p>
        </w:tc>
      </w:tr>
    </w:tbl>
    <w:p>
      <w:pPr>
        <w:pStyle w:val="Heading1"/>
      </w:pPr>
      <w:r>
        <w:t>第4章 违约责任</w:t>
      </w:r>
    </w:p>
    <w:p>
      <w:r>
        <w:t>逾期交付的，每日按合同总额的 0.5‰ 支付违约金。</w:t>
      </w:r>
    </w:p>
    <w:p>
      <w:pPr>
        <w:pStyle w:val="Heading1"/>
      </w:pPr>
      <w:r>
        <w:t>第3章 交付与验收</w:t>
      </w:r>
    </w:p>
    <w:p>
      <w:r>
        <w:t>交付期为合同生效后 120 天，验收标准见 2.1 节及附表 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