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第1章 概述</w:t>
      </w:r>
    </w:p>
    <w:p>
      <w:r>
        <w:t>本方案依据第3章的技术要求编写，接口定义详见 3.2 节。</w:t>
      </w:r>
    </w:p>
    <w:p>
      <w:r>
        <w:t>硬件配置见表 2，部署拓扑见图 3。</w:t>
      </w:r>
    </w:p>
    <w:p>
      <w:pPr>
        <w:pStyle w:val="Heading1"/>
      </w:pPr>
      <w:r>
        <w:t>第2章 系统架构</w:t>
      </w:r>
    </w:p>
    <w:p>
      <w:r>
        <w:t>系统总体架构见图 1。</w:t>
      </w:r>
    </w:p>
    <w:p>
      <w:pPr>
        <w:pStyle w:val="Caption"/>
      </w:pPr>
      <w:r>
        <w:t>图 1 系统总体架构</w:t>
      </w:r>
    </w:p>
    <w:p>
      <w:pPr>
        <w:pStyle w:val="Caption"/>
      </w:pPr>
      <w:r>
        <w:t>图 3 部署拓扑图</w:t>
      </w:r>
    </w:p>
    <w:p>
      <w:pPr>
        <w:pStyle w:val="Heading1"/>
      </w:pPr>
      <w:r>
        <w:t>第4章 实施计划</w:t>
      </w:r>
    </w:p>
    <w:p>
      <w:r>
        <w:t>实施里程碑见表 2，具体参数见附件 5。</w:t>
      </w:r>
    </w:p>
    <w:p>
      <w:pPr>
        <w:pStyle w:val="Caption"/>
      </w:pPr>
      <w:r>
        <w:t>表 2 硬件配置清单</w:t>
      </w:r>
    </w:p>
    <w:p>
      <w:r>
        <w:t>验收要求见 5.1 节，测试报告见附件 2。</w:t>
      </w:r>
    </w:p>
    <w:p>
      <w:pPr>
        <w:pStyle w:val="Caption"/>
      </w:pPr>
      <w:r>
        <w:t>图 3 数据流图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