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00"/>
        <w:jc w:val="center"/>
        <w:rPr>
          <w:rFonts w:eastAsia="黑体" w:hint="eastAsia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律 师 办 案 质 量 监 督 卡</w:t>
      </w:r>
    </w:p>
    <w:p>
      <w:pPr>
        <w:pStyle w:val="Normal"/>
        <w:spacing w:lineRule="exact" w:line="500"/>
        <w:jc w:val="both"/>
        <w:rPr>
          <w:rFonts w:eastAsia="黑体" w:hint="eastAsia"/>
          <w:b/>
          <w:bCs/>
          <w:sz w:val="44"/>
        </w:rPr>
      </w:pPr>
      <w:r>
        <w:rPr>
          <w:rFonts w:eastAsia="黑体" w:hint="eastAsia"/>
          <w:b/>
          <w:bCs/>
          <w:sz w:val="44"/>
        </w:rPr>
      </w:r>
    </w:p>
    <w:tbl>
      <w:tblPr>
        <w:tblW w:w="81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40"/>
        <w:gridCol w:w="1620"/>
        <w:gridCol w:w="360"/>
        <w:gridCol w:w="1440"/>
        <w:gridCol w:w="3061"/>
      </w:tblGrid>
      <w:tr>
        <w:trPr>
          <w:trHeight w:val="459" w:hRule="atLeast"/>
          <w:cantSplit/>
        </w:trPr>
        <w:tc>
          <w:tcPr>
            <w:tcW w:w="16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ascii="仿宋_GB2312;仿宋" w:hAnsi="仿宋_GB2312;仿宋" w:hint="eastAsia" w:eastAsia="仿宋_GB2312;仿宋"/>
                <w:sz w:val="28"/>
              </w:rPr>
              <w:t>律师事务所</w:t>
            </w:r>
          </w:p>
        </w:tc>
        <w:tc>
          <w:tcPr>
            <w:tcW w:w="648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eastAsia="仿宋_GB2312;仿宋" w:hint="eastAsia" w:ascii="仿宋_GB2312;仿宋" w:hAnsi="仿宋_GB2312;仿宋"/>
                <w:sz w:val="28"/>
              </w:rPr>
            </w:r>
          </w:p>
        </w:tc>
      </w:tr>
      <w:tr>
        <w:trPr>
          <w:trHeight w:val="465" w:hRule="atLeast"/>
          <w:cantSplit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ascii="仿宋_GB2312;仿宋" w:hAnsi="仿宋_GB2312;仿宋" w:hint="eastAsia" w:eastAsia="仿宋_GB2312;仿宋"/>
                <w:sz w:val="28"/>
              </w:rPr>
              <w:t>案号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eastAsia="仿宋_GB2312;仿宋" w:hint="eastAsia" w:ascii="仿宋_GB2312;仿宋" w:hAnsi="仿宋_GB2312;仿宋"/>
                <w:sz w:val="28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ascii="仿宋_GB2312;仿宋" w:hAnsi="仿宋_GB2312;仿宋" w:hint="eastAsia" w:eastAsia="仿宋_GB2312;仿宋"/>
                <w:sz w:val="28"/>
              </w:rPr>
              <w:t>承办律师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eastAsia="仿宋_GB2312;仿宋" w:hint="eastAsia" w:ascii="仿宋_GB2312;仿宋" w:hAnsi="仿宋_GB2312;仿宋"/>
                <w:sz w:val="28"/>
              </w:rPr>
            </w:r>
          </w:p>
        </w:tc>
      </w:tr>
      <w:tr>
        <w:trPr>
          <w:trHeight w:val="435" w:hRule="atLeast"/>
          <w:cantSplit/>
        </w:trPr>
        <w:tc>
          <w:tcPr>
            <w:tcW w:w="3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ascii="仿宋_GB2312;仿宋" w:hAnsi="仿宋_GB2312;仿宋" w:hint="eastAsia" w:eastAsia="仿宋_GB2312;仿宋"/>
                <w:sz w:val="28"/>
              </w:rPr>
              <w:t>委托人联系地址及电话</w:t>
            </w:r>
          </w:p>
        </w:tc>
        <w:tc>
          <w:tcPr>
            <w:tcW w:w="48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jc w:val="center"/>
              <w:rPr>
                <w:rFonts w:ascii="仿宋_GB2312;仿宋" w:hAnsi="仿宋_GB2312;仿宋" w:eastAsia="仿宋_GB2312;仿宋" w:hint="eastAsia"/>
                <w:sz w:val="28"/>
              </w:rPr>
            </w:pPr>
            <w:r>
              <w:rPr>
                <w:rFonts w:eastAsia="仿宋_GB2312;仿宋" w:hint="eastAsia" w:ascii="仿宋_GB2312;仿宋" w:hAnsi="仿宋_GB2312;仿宋"/>
                <w:sz w:val="28"/>
              </w:rPr>
            </w:r>
          </w:p>
        </w:tc>
      </w:tr>
    </w:tbl>
    <w:p>
      <w:pPr>
        <w:pStyle w:val="Normal"/>
        <w:spacing w:lineRule="exact" w:line="400"/>
        <w:rPr>
          <w:rFonts w:ascii="仿宋_GB2312;仿宋" w:hAnsi="仿宋_GB2312;仿宋" w:eastAsia="仿宋_GB2312;仿宋" w:cs="宋体" w:hint="eastAsia"/>
          <w:b/>
          <w:bCs/>
          <w:sz w:val="28"/>
        </w:rPr>
      </w:pPr>
      <w:r>
        <w:rPr>
          <w:rFonts w:eastAsia="仿宋_GB2312;仿宋" w:cs="宋体" w:hint="eastAsia" w:ascii="仿宋_GB2312;仿宋" w:hAnsi="仿宋_GB2312;仿宋"/>
          <w:b/>
          <w:bCs/>
          <w:sz w:val="28"/>
        </w:rPr>
        <w:t>1</w:t>
      </w:r>
      <w:r>
        <w:rPr>
          <w:rFonts w:ascii="仿宋_GB2312;仿宋" w:hAnsi="仿宋_GB2312;仿宋" w:cs="宋体" w:hint="eastAsia" w:eastAsia="仿宋_GB2312;仿宋"/>
          <w:b/>
          <w:bCs/>
          <w:sz w:val="28"/>
        </w:rPr>
        <w:t xml:space="preserve">、是否由律师事务所与委托人签订委托代理合同  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cs="宋体" w:hint="eastAsia" w:eastAsia="仿宋_GB2312;仿宋"/>
          <w:sz w:val="28"/>
        </w:rPr>
        <w:t xml:space="preserve">   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2</w:t>
      </w:r>
      <w:r>
        <w:rPr>
          <w:rFonts w:ascii="仿宋_GB2312;仿宋" w:hAnsi="仿宋_GB2312;仿宋" w:hint="eastAsia" w:eastAsia="仿宋_GB2312;仿宋"/>
          <w:b/>
          <w:bCs/>
          <w:sz w:val="28"/>
        </w:rPr>
        <w:t>、是否由律师事务所向委托人收取律师费并如实出具发票</w:t>
      </w:r>
    </w:p>
    <w:p>
      <w:pPr>
        <w:pStyle w:val="Normal"/>
        <w:spacing w:lineRule="exact" w:line="400"/>
        <w:ind w:firstLineChars="1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hint="eastAsia" w:eastAsia="仿宋_GB2312;仿宋"/>
          <w:sz w:val="28"/>
        </w:rPr>
        <w:t xml:space="preserve"> 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ind w:hanging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3</w:t>
      </w:r>
      <w:r>
        <w:rPr>
          <w:rFonts w:ascii="仿宋_GB2312;仿宋" w:hAnsi="仿宋_GB2312;仿宋" w:hint="eastAsia" w:eastAsia="仿宋_GB2312;仿宋"/>
          <w:b/>
          <w:bCs/>
          <w:sz w:val="28"/>
        </w:rPr>
        <w:t>、接受委托后承办律师是否在律师费外收取了其他额外报酬或财物</w:t>
      </w:r>
      <w:r>
        <w:rPr>
          <w:rFonts w:ascii="仿宋_GB2312;仿宋" w:hAnsi="仿宋_GB2312;仿宋" w:hint="eastAsia" w:eastAsia="仿宋_GB2312;仿宋"/>
          <w:sz w:val="28"/>
        </w:rPr>
        <w:t xml:space="preserve">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4</w:t>
      </w:r>
      <w:r>
        <w:rPr>
          <w:rFonts w:ascii="仿宋_GB2312;仿宋" w:hAnsi="仿宋_GB2312;仿宋" w:hint="eastAsia" w:eastAsia="仿宋_GB2312;仿宋"/>
          <w:b/>
          <w:bCs/>
          <w:sz w:val="28"/>
        </w:rPr>
        <w:t xml:space="preserve">、接受委托前承办律师是否向委托人作过虚假承诺 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hint="eastAsia" w:eastAsia="仿宋_GB2312;仿宋"/>
          <w:sz w:val="28"/>
        </w:rPr>
        <w:t xml:space="preserve">   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ind w:hangingChars="200" w:startChars="0" w:start="0" w:endChars="0" w:end="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5</w:t>
      </w:r>
      <w:r>
        <w:rPr>
          <w:rFonts w:ascii="仿宋_GB2312;仿宋" w:hAnsi="仿宋_GB2312;仿宋" w:hint="eastAsia" w:eastAsia="仿宋_GB2312;仿宋"/>
          <w:b/>
          <w:bCs/>
          <w:sz w:val="28"/>
        </w:rPr>
        <w:t xml:space="preserve">、接受委托后承办律师是否有无正当理由而不按时出庭参加诉讼、仲裁或有其他拒绝辩护、代理现象 </w:t>
      </w:r>
    </w:p>
    <w:p>
      <w:pPr>
        <w:pStyle w:val="Normal"/>
        <w:spacing w:lineRule="exact" w:line="400"/>
        <w:ind w:hanging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hint="eastAsia" w:eastAsia="仿宋_GB2312;仿宋"/>
          <w:sz w:val="28"/>
        </w:rPr>
        <w:t xml:space="preserve">   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6</w:t>
      </w:r>
      <w:r>
        <w:rPr>
          <w:rFonts w:ascii="仿宋_GB2312;仿宋" w:hAnsi="仿宋_GB2312;仿宋" w:hint="eastAsia" w:eastAsia="仿宋_GB2312;仿宋"/>
          <w:b/>
          <w:bCs/>
          <w:sz w:val="28"/>
        </w:rPr>
        <w:t xml:space="preserve">、接受委托后承办律师是否有敷衍推诿、不尽职尽责的现象 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ind w:hangingChars="2600" w:startChars="0" w:start="0" w:endChars="0" w:end="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7</w:t>
      </w:r>
      <w:r>
        <w:rPr>
          <w:rFonts w:ascii="仿宋_GB2312;仿宋" w:hAnsi="仿宋_GB2312;仿宋" w:hint="eastAsia" w:eastAsia="仿宋_GB2312;仿宋"/>
          <w:b/>
          <w:bCs/>
          <w:sz w:val="28"/>
        </w:rPr>
        <w:t>、在委托代理合同中约定代收有关法律文书的，承办律师是否及时</w:t>
      </w:r>
    </w:p>
    <w:p>
      <w:pPr>
        <w:pStyle w:val="Normal"/>
        <w:spacing w:lineRule="exact" w:line="400"/>
        <w:ind w:hangingChars="2400" w:startChars="266" w:endChars="0" w:end="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ascii="仿宋_GB2312;仿宋" w:hAnsi="仿宋_GB2312;仿宋" w:hint="eastAsia" w:eastAsia="仿宋_GB2312;仿宋"/>
          <w:b/>
          <w:bCs/>
          <w:sz w:val="28"/>
        </w:rPr>
        <w:t xml:space="preserve">向委托人送达判决书、调解书、裁定书等法律文书 </w:t>
      </w:r>
    </w:p>
    <w:p>
      <w:pPr>
        <w:pStyle w:val="Normal"/>
        <w:spacing w:lineRule="exact" w:line="400"/>
        <w:ind w:hangingChars="26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hint="eastAsia" w:eastAsia="仿宋_GB2312;仿宋"/>
          <w:sz w:val="28"/>
        </w:rPr>
        <w:t xml:space="preserve">   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b/>
          <w:bCs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8</w:t>
      </w:r>
      <w:r>
        <w:rPr>
          <w:rFonts w:ascii="仿宋_GB2312;仿宋" w:hAnsi="仿宋_GB2312;仿宋" w:hint="eastAsia" w:eastAsia="仿宋_GB2312;仿宋"/>
          <w:b/>
          <w:bCs/>
          <w:sz w:val="28"/>
        </w:rPr>
        <w:t>、承办律师与委托人是否办妥本案有关证据资料的交接手续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sz w:val="28"/>
        </w:rPr>
      </w:pPr>
      <w:r>
        <w:rPr>
          <w:rFonts w:ascii="仿宋_GB2312;仿宋" w:hAnsi="仿宋_GB2312;仿宋" w:hint="eastAsia" w:eastAsia="仿宋_GB2312;仿宋"/>
          <w:sz w:val="28"/>
        </w:rPr>
        <w:t xml:space="preserve">    </w:t>
      </w:r>
      <w:r>
        <w:rPr>
          <w:rFonts w:ascii="仿宋_GB2312;仿宋" w:hAnsi="仿宋_GB2312;仿宋" w:cs="宋体" w:hint="eastAsia" w:eastAsia="仿宋_GB2312;仿宋"/>
          <w:sz w:val="28"/>
        </w:rPr>
        <w:t>是□       否□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9</w:t>
      </w:r>
      <w:r>
        <w:rPr>
          <w:rFonts w:ascii="仿宋_GB2312;仿宋" w:hAnsi="仿宋_GB2312;仿宋" w:hint="eastAsia" w:eastAsia="仿宋_GB2312;仿宋"/>
          <w:b/>
          <w:bCs/>
          <w:sz w:val="28"/>
        </w:rPr>
        <w:t>、对承办律师办理本案总的评价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8"/>
        </w:rPr>
      </w:pPr>
      <w:r>
        <w:rPr>
          <w:rFonts w:ascii="仿宋_GB2312;仿宋" w:hAnsi="仿宋_GB2312;仿宋" w:hint="eastAsia" w:eastAsia="仿宋_GB2312;仿宋"/>
          <w:sz w:val="28"/>
        </w:rPr>
        <w:t>好</w:t>
      </w:r>
      <w:r>
        <w:rPr>
          <w:rFonts w:ascii="仿宋_GB2312;仿宋" w:hAnsi="仿宋_GB2312;仿宋" w:cs="宋体" w:hint="eastAsia" w:eastAsia="仿宋_GB2312;仿宋"/>
          <w:sz w:val="28"/>
        </w:rPr>
        <w:t>□     较好□     一般□     较差□     差□</w:t>
      </w:r>
    </w:p>
    <w:p>
      <w:pPr>
        <w:pStyle w:val="Normal"/>
        <w:spacing w:lineRule="exact" w:line="40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b/>
          <w:bCs/>
          <w:sz w:val="28"/>
        </w:rPr>
        <w:t>10</w:t>
      </w:r>
      <w:r>
        <w:rPr>
          <w:rFonts w:ascii="仿宋_GB2312;仿宋" w:hAnsi="仿宋_GB2312;仿宋" w:hint="eastAsia" w:eastAsia="仿宋_GB2312;仿宋"/>
          <w:b/>
          <w:bCs/>
          <w:sz w:val="28"/>
        </w:rPr>
        <w:t>、对律师办理本案的意见和建议</w:t>
      </w:r>
      <w:r>
        <w:rPr>
          <w:rFonts w:ascii="楷体_GB2312;楷体" w:hAnsi="楷体_GB2312;楷体" w:hint="eastAsia" w:eastAsia="楷体_GB2312;楷体"/>
          <w:sz w:val="24"/>
        </w:rPr>
        <w:t>（内容较多可另附页）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sz w:val="28"/>
        </w:rPr>
      </w:r>
    </w:p>
    <w:p>
      <w:pPr>
        <w:pStyle w:val="Normal"/>
        <w:spacing w:lineRule="exact" w:line="400"/>
        <w:ind w:firstLine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sz w:val="28"/>
        </w:rPr>
      </w:r>
    </w:p>
    <w:p>
      <w:pPr>
        <w:pStyle w:val="Normal"/>
        <w:spacing w:lineRule="exact" w:line="400"/>
        <w:ind w:firstLine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sz w:val="28"/>
        </w:rPr>
      </w:r>
    </w:p>
    <w:p>
      <w:pPr>
        <w:pStyle w:val="Normal"/>
        <w:spacing w:lineRule="exact" w:line="400"/>
        <w:ind w:firstLineChars="200" w:startChars="0" w:start="0" w:endChars="0" w:end="0"/>
        <w:rPr>
          <w:rFonts w:ascii="仿宋_GB2312;仿宋" w:hAnsi="仿宋_GB2312;仿宋" w:eastAsia="仿宋_GB2312;仿宋" w:hint="eastAsia"/>
          <w:sz w:val="28"/>
        </w:rPr>
      </w:pPr>
      <w:r>
        <w:rPr>
          <w:rFonts w:eastAsia="仿宋_GB2312;仿宋" w:hint="eastAsia" w:ascii="仿宋_GB2312;仿宋" w:hAnsi="仿宋_GB2312;仿宋"/>
          <w:sz w:val="28"/>
        </w:rPr>
      </w:r>
    </w:p>
    <w:p>
      <w:pPr>
        <w:pStyle w:val="BodyTextIndent"/>
        <w:spacing w:lineRule="exact" w:line="300"/>
        <w:rPr>
          <w:rFonts w:hint="eastAsia"/>
        </w:rPr>
      </w:pPr>
      <w:r>
        <w:rPr>
          <w:rFonts w:hint="eastAsia"/>
        </w:rPr>
        <w:t>说明：此卡由律师事务所在办理委托手续时，与背面的《委托人须知》一起发给委托人，由委托人签收。案件办结后，请委托人填写此卡并及时交回律师事务所；如有不便，也可直接将此卡交该律师事务所的主管司法局或市律师协会。</w:t>
      </w:r>
    </w:p>
    <w:p>
      <w:pPr>
        <w:pStyle w:val="Normal"/>
        <w:spacing w:lineRule="exact" w:line="500"/>
        <w:jc w:val="center"/>
        <w:rPr>
          <w:rFonts w:eastAsia="黑体" w:hint="eastAsia"/>
          <w:b/>
          <w:bCs/>
          <w:sz w:val="44"/>
        </w:rPr>
      </w:pPr>
      <w:r>
        <w:rPr>
          <w:rFonts w:eastAsia="黑体" w:hint="eastAsia"/>
          <w:b/>
          <w:bCs/>
          <w:sz w:val="44"/>
        </w:rPr>
      </w:r>
    </w:p>
    <w:p>
      <w:pPr>
        <w:pStyle w:val="Normal"/>
        <w:spacing w:lineRule="exact" w:line="500"/>
        <w:jc w:val="center"/>
        <w:rPr>
          <w:rFonts w:eastAsia="黑体" w:hint="eastAsia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委 托 人 须 知</w:t>
      </w:r>
    </w:p>
    <w:p>
      <w:pPr>
        <w:pStyle w:val="Normal"/>
        <w:spacing w:lineRule="exact" w:line="560"/>
        <w:jc w:val="center"/>
        <w:rPr>
          <w:rFonts w:ascii="楷体_GB2312;楷体" w:hAnsi="楷体_GB2312;楷体" w:eastAsia="楷体_GB2312;楷体" w:hint="eastAsia"/>
          <w:sz w:val="24"/>
        </w:rPr>
      </w:pPr>
      <w:r>
        <w:rPr>
          <w:rFonts w:eastAsia="楷体_GB2312;楷体" w:hint="eastAsia" w:ascii="楷体_GB2312;楷体" w:hAnsi="楷体_GB2312;楷体"/>
          <w:sz w:val="24"/>
        </w:rPr>
        <w:t>(2004</w:t>
      </w:r>
      <w:r>
        <w:rPr>
          <w:rFonts w:ascii="楷体_GB2312;楷体" w:hAnsi="楷体_GB2312;楷体" w:hint="eastAsia" w:eastAsia="楷体_GB2312;楷体"/>
          <w:sz w:val="24"/>
        </w:rPr>
        <w:t>年</w:t>
      </w:r>
      <w:r>
        <w:rPr>
          <w:rFonts w:eastAsia="楷体_GB2312;楷体" w:hint="eastAsia" w:ascii="楷体_GB2312;楷体" w:hAnsi="楷体_GB2312;楷体"/>
          <w:sz w:val="24"/>
        </w:rPr>
        <w:t>11</w:t>
      </w:r>
      <w:r>
        <w:rPr>
          <w:rFonts w:ascii="楷体_GB2312;楷体" w:hAnsi="楷体_GB2312;楷体" w:hint="eastAsia" w:eastAsia="楷体_GB2312;楷体"/>
          <w:sz w:val="24"/>
        </w:rPr>
        <w:t>月</w:t>
      </w:r>
      <w:r>
        <w:rPr>
          <w:rFonts w:eastAsia="楷体_GB2312;楷体" w:hint="eastAsia" w:ascii="楷体_GB2312;楷体" w:hAnsi="楷体_GB2312;楷体"/>
          <w:sz w:val="24"/>
        </w:rPr>
        <w:t>5</w:t>
      </w:r>
      <w:r>
        <w:rPr>
          <w:rFonts w:ascii="楷体_GB2312;楷体" w:hAnsi="楷体_GB2312;楷体" w:hint="eastAsia" w:eastAsia="楷体_GB2312;楷体"/>
          <w:sz w:val="24"/>
        </w:rPr>
        <w:t>日广东省律师协会第七届理事会第五次会议通过，</w:t>
      </w:r>
    </w:p>
    <w:p>
      <w:pPr>
        <w:pStyle w:val="Normal"/>
        <w:spacing w:lineRule="exact" w:line="560"/>
        <w:jc w:val="center"/>
        <w:rPr>
          <w:rFonts w:ascii="楷体_GB2312;楷体" w:hAnsi="楷体_GB2312;楷体" w:eastAsia="楷体_GB2312;楷体" w:hint="eastAsia"/>
          <w:sz w:val="24"/>
        </w:rPr>
      </w:pPr>
      <w:r>
        <w:rPr>
          <w:rFonts w:eastAsia="楷体_GB2312;楷体" w:hint="eastAsia" w:ascii="楷体_GB2312;楷体" w:hAnsi="楷体_GB2312;楷体"/>
          <w:sz w:val="24"/>
        </w:rPr>
        <w:t>2018</w:t>
      </w:r>
      <w:r>
        <w:rPr>
          <w:rFonts w:ascii="楷体_GB2312;楷体" w:hAnsi="楷体_GB2312;楷体" w:hint="eastAsia" w:eastAsia="楷体_GB2312;楷体"/>
          <w:sz w:val="24"/>
        </w:rPr>
        <w:t>年</w:t>
      </w:r>
      <w:r>
        <w:rPr>
          <w:rFonts w:eastAsia="楷体_GB2312;楷体" w:hint="eastAsia" w:ascii="楷体_GB2312;楷体" w:hAnsi="楷体_GB2312;楷体"/>
          <w:sz w:val="24"/>
        </w:rPr>
        <w:t>2</w:t>
      </w:r>
      <w:r>
        <w:rPr>
          <w:rFonts w:ascii="楷体_GB2312;楷体" w:hAnsi="楷体_GB2312;楷体" w:hint="eastAsia" w:eastAsia="楷体_GB2312;楷体"/>
          <w:sz w:val="24"/>
        </w:rPr>
        <w:t>月</w:t>
      </w:r>
      <w:r>
        <w:rPr>
          <w:rFonts w:eastAsia="楷体_GB2312;楷体" w:hint="eastAsia" w:ascii="楷体_GB2312;楷体" w:hAnsi="楷体_GB2312;楷体"/>
          <w:sz w:val="24"/>
        </w:rPr>
        <w:t>8</w:t>
      </w:r>
      <w:r>
        <w:rPr>
          <w:rFonts w:ascii="楷体_GB2312;楷体" w:hAnsi="楷体_GB2312;楷体" w:hint="eastAsia" w:eastAsia="楷体_GB2312;楷体"/>
          <w:sz w:val="24"/>
        </w:rPr>
        <w:t>日广东省律师协会第十一届常务理事会第八次会议修订）</w:t>
      </w:r>
    </w:p>
    <w:p>
      <w:pPr>
        <w:pStyle w:val="Normal"/>
        <w:snapToGrid w:val="false"/>
        <w:spacing w:lineRule="exact" w:line="560"/>
        <w:jc w:val="center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为了保障委托人、律师事务所及律师各方的合法权益，根据《中华人民共和国律师法》及《律师执业行为规范》等有关规定，律师接受委托的，应当告知委托人如下事项：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一、委托人要求律师办理的事项应当合法，不得要求律师通过不正当手段与办案机关、政府部门及其工作人员进行沟通，不得要求承办律师对委托事项的办理结果作出承诺。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二、委托人应当按照委托合同的约定，按时、足额支付律师费。以下情况律师事务所不予退费：（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1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）委托人同时委托他人的；（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2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）律师完成委托事项后，无正当理由委托人认为结果不理想，或者认为律师事务所收费过高的；（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3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）非因受托人原因，委托人终止委托合同的；（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4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）委托合同约定的其他情形。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三、委托人的委托的诉讼或非诉讼事项均具有不同程度的法律风险，律师承办的业务受到办案机关、政府部门和相关当事方的制约，委托人的主张及律师的法律意见有部分或全部不被采纳的可能。</w:t>
      </w:r>
      <w:bookmarkStart w:id="0" w:name="No163_Z4T49K2"/>
      <w:bookmarkStart w:id="1" w:name="No162_Z4T49K1"/>
      <w:bookmarkEnd w:id="0"/>
      <w:bookmarkEnd w:id="1"/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四、委托人有权向承办律师了解委托事项的办理情况。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五、律师执业必须遵守宪法和法律，恪守律师职业道德和执业纪律。律师执业必须以事实为根据，以法律为准绳。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六、律师不得以诋毁其他律师事务所、律师，支付介绍费，向当事人明示或者暗示与办案机关、政府部门及其工作人员有特殊关系等不正当手段承揽业务，不得以不实宣传等方式承揽业务。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七、律师承办业务，须由律师事务所与委托人签订书面委托合同，按有关规定收取律师费，并向委托人统一开具发票。律师不得私自接受委托，私自向委托人收取费用或财物。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八、律师不得以非律师身份从事法律服务。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九、委托人发现承办律师在履行委托合同过程中执业有违规行为的，可以向承办律师所在律师所、律师协会及司法行政部门投诉。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委托人确认，委托人已知晓上述内容。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sz w:val="24"/>
          <w:szCs w:val="24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center"/>
        <w:textAlignment w:val="auto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 xml:space="preserve">                          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委托人（签章）：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center"/>
        <w:textAlignment w:val="auto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end"/>
        <w:textAlignment w:val="auto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 xml:space="preserve">      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年    月    日</w:t>
      </w:r>
    </w:p>
    <w:p>
      <w:pPr>
        <w:pStyle w:val="Normal"/>
        <w:ind w:firstLineChars="200" w:startChars="0" w:start="0" w:endChars="0" w:end="0"/>
        <w:jc w:val="end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eastAsia="仿宋_GB2312;仿宋" w:cs="宋体" w:hint="eastAsia" w:ascii="仿宋_GB2312;仿宋" w:hAnsi="仿宋_GB2312;仿宋"/>
          <w:sz w:val="24"/>
          <w:szCs w:val="24"/>
        </w:rPr>
      </w:r>
    </w:p>
    <w:p>
      <w:pPr>
        <w:pStyle w:val="BodyTextIndent"/>
        <w:spacing w:lineRule="auto" w:line="240"/>
        <w:ind w:firstLineChars="0" w:firstLine="0" w:endChars="0" w:end="0"/>
        <w:rPr>
          <w:rFonts w:ascii="仿宋_GB2312;仿宋" w:hAnsi="仿宋_GB2312;仿宋" w:eastAsia="仿宋_GB2312;仿宋" w:cs="宋体"/>
          <w:b/>
          <w:bCs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b/>
          <w:bCs/>
          <w:sz w:val="24"/>
          <w:szCs w:val="24"/>
        </w:rPr>
        <w:t>投诉电话：</w:t>
      </w:r>
    </w:p>
    <w:p>
      <w:pPr>
        <w:pStyle w:val="BodyTextIndent"/>
        <w:spacing w:lineRule="auto" w:line="240"/>
        <w:ind w:firstLineChars="0" w:firstLine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佛山市司法局：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83331692   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佛山市律师协会：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83321801</w:t>
      </w:r>
    </w:p>
    <w:p>
      <w:pPr>
        <w:pStyle w:val="BodyTextIndent"/>
        <w:spacing w:lineRule="auto" w:line="240"/>
        <w:ind w:firstLineChars="0" w:firstLine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禅城区司法局：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66611111--4 </w:t>
      </w:r>
      <w:r>
        <w:rPr>
          <w:rFonts w:eastAsia="仿宋_GB2312;仿宋" w:cs="宋体" w:ascii="仿宋_GB2312;仿宋" w:hAnsi="仿宋_GB2312;仿宋"/>
          <w:sz w:val="24"/>
          <w:szCs w:val="24"/>
        </w:rPr>
        <w:t xml:space="preserve"> 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南海区司法局：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81210925</w:t>
      </w:r>
    </w:p>
    <w:p>
      <w:pPr>
        <w:pStyle w:val="BodyTextIndent"/>
        <w:spacing w:lineRule="auto" w:line="240"/>
        <w:ind w:firstLineChars="0" w:firstLine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顺德区司法局：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22830122 </w:t>
      </w:r>
      <w:r>
        <w:rPr>
          <w:rFonts w:eastAsia="仿宋_GB2312;仿宋" w:cs="宋体" w:ascii="仿宋_GB2312;仿宋" w:hAnsi="仿宋_GB2312;仿宋"/>
          <w:sz w:val="24"/>
          <w:szCs w:val="24"/>
        </w:rPr>
        <w:t xml:space="preserve">    </w:t>
      </w:r>
      <w:r>
        <w:rPr>
          <w:rFonts w:ascii="仿宋_GB2312;仿宋" w:hAnsi="仿宋_GB2312;仿宋" w:cs="宋体" w:hint="eastAsia" w:eastAsia="仿宋_GB2312;仿宋"/>
          <w:sz w:val="24"/>
          <w:szCs w:val="24"/>
        </w:rPr>
        <w:t>三水区司法局：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87731873</w:t>
      </w:r>
    </w:p>
    <w:p>
      <w:pPr>
        <w:pStyle w:val="BodyTextIndent"/>
        <w:spacing w:lineRule="auto" w:line="240"/>
        <w:ind w:firstLineChars="0" w:firstLine="0" w:endChars="0" w:end="0"/>
        <w:rPr>
          <w:rFonts w:ascii="仿宋_GB2312;仿宋" w:hAnsi="仿宋_GB2312;仿宋" w:eastAsia="仿宋_GB2312;仿宋" w:cs="宋体" w:hint="eastAsia"/>
          <w:sz w:val="24"/>
          <w:szCs w:val="24"/>
        </w:rPr>
      </w:pPr>
      <w:r>
        <w:rPr>
          <w:rFonts w:ascii="仿宋_GB2312;仿宋" w:hAnsi="仿宋_GB2312;仿宋" w:cs="宋体" w:hint="eastAsia" w:eastAsia="仿宋_GB2312;仿宋"/>
          <w:sz w:val="24"/>
          <w:szCs w:val="24"/>
        </w:rPr>
        <w:t>高明区司法局：</w:t>
      </w:r>
      <w:r>
        <w:rPr>
          <w:rFonts w:eastAsia="仿宋_GB2312;仿宋" w:cs="宋体" w:hint="eastAsia" w:ascii="仿宋_GB2312;仿宋" w:hAnsi="仿宋_GB2312;仿宋"/>
          <w:sz w:val="24"/>
          <w:szCs w:val="24"/>
        </w:rPr>
        <w:t>88882966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lineRule="exact" w:line="400"/>
      <w:ind w:firstLineChars="200" w:startChars="0" w:start="0" w:endChars="0" w:end="0"/>
    </w:pPr>
    <w:rPr>
      <w:rFonts w:ascii="楷体_GB2312;楷体" w:hAnsi="楷体_GB2312;楷体" w:eastAsia="楷体_GB2312;楷体"/>
      <w:sz w:val="24"/>
    </w:rPr>
  </w:style>
  <w:style w:type="paragraph" w:styleId="2">
    <w:name w:val="正文文本缩进 2"/>
    <w:basedOn w:val="Normal"/>
    <w:qFormat/>
    <w:pPr>
      <w:spacing w:lineRule="exact" w:line="360"/>
      <w:ind w:firstLineChars="200" w:startChars="0" w:start="0" w:endChars="0" w:end="0"/>
    </w:pPr>
    <w:rPr>
      <w:rFonts w:eastAsia="仿宋_GB2312;仿宋"/>
      <w:sz w:val="28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2020-09-30T09:52:00Z</dcterms:created>
  <dc:creator>Administrator</dc:creator>
  <dc:description/>
  <dc:language>zh-CN</dc:language>
  <cp:lastModifiedBy>王亚男</cp:lastModifiedBy>
  <cp:lastPrinted>2021-05-18T10:54:00Z</cp:lastPrinted>
  <dcterms:modified xsi:type="dcterms:W3CDTF">2021-05-18T10:58:42Z</dcterms:modified>
  <cp:revision>4</cp:revision>
  <dc:subject/>
  <dc:title>编号:    年    字第    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97045228623846F7ADBF0C83EBF5504C</vt:lpwstr>
  </property>
  <property fmtid="{D5CDD505-2E9C-101B-9397-08002B2CF9AE}" pid="3" name="KSOProductBuildVer">
    <vt:lpwstr>2052-11.1.0.10495</vt:lpwstr>
  </property>
</Properties>
</file>