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律师所送达材料清单</w:t>
      </w:r>
    </w:p>
    <w:p>
      <w:pPr>
        <w:pStyle w:val="Normal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案号：</w:t>
      </w:r>
    </w:p>
    <w:p>
      <w:pPr>
        <w:pStyle w:val="Normal"/>
        <w:rPr>
          <w:rFonts w:hint="eastAsia"/>
          <w:b/>
          <w:sz w:val="32"/>
          <w:szCs w:val="32"/>
        </w:rPr>
      </w:pPr>
      <w:r>
        <w:rPr/>
        <w:t xml:space="preserve">委托方：                      承办律师：         </w:t>
      </w:r>
    </w:p>
    <w:tbl>
      <w:tblPr>
        <w:tblW w:w="85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4"/>
        <w:gridCol w:w="2618"/>
        <w:gridCol w:w="598"/>
        <w:gridCol w:w="1377"/>
        <w:gridCol w:w="1186"/>
        <w:gridCol w:w="1186"/>
        <w:gridCol w:w="933"/>
      </w:tblGrid>
      <w:tr>
        <w:trPr>
          <w:trHeight w:val="1375" w:hRule="atLeas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序号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材料名称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页数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送达</w:t>
            </w:r>
          </w:p>
          <w:p>
            <w:pPr>
              <w:pStyle w:val="Normal"/>
              <w:spacing w:lineRule="exact" w:line="340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时间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送达人</w:t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接收人</w:t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备注</w:t>
            </w:r>
          </w:p>
        </w:tc>
      </w:tr>
      <w:tr>
        <w:trPr>
          <w:trHeight w:val="539" w:hRule="atLeas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仿宋_GB2312" w:hAnsi="仿宋_GB2312" w:eastAsia="仿宋_GB2312" w:hint="eastAsia"/>
                <w:b/>
                <w:sz w:val="24"/>
              </w:rPr>
            </w:pPr>
            <w:r>
              <w:rPr>
                <w:rFonts w:eastAsia="仿宋_GB2312" w:hint="eastAsia" w:ascii="仿宋_GB2312" w:hAnsi="仿宋_GB2312"/>
                <w:b/>
                <w:sz w:val="24"/>
                <w:szCs w:val="32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eastAsia="仿宋_GB2312" w:hint="eastAsia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</w:tr>
      <w:tr>
        <w:trPr>
          <w:trHeight w:val="539" w:hRule="atLeas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仿宋_GB2312" w:hAnsi="仿宋_GB2312" w:eastAsia="仿宋_GB2312" w:hint="eastAsia"/>
                <w:b/>
                <w:sz w:val="24"/>
              </w:rPr>
            </w:pPr>
            <w:r>
              <w:rPr>
                <w:rFonts w:eastAsia="仿宋_GB2312" w:hint="eastAsia" w:ascii="仿宋_GB2312" w:hAnsi="仿宋_GB2312"/>
                <w:b/>
                <w:sz w:val="24"/>
                <w:szCs w:val="32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eastAsia="仿宋_GB2312" w:hint="eastAsia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</w:tr>
      <w:tr>
        <w:trPr>
          <w:trHeight w:val="539" w:hRule="atLeas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3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rPr>
                <w:rFonts w:ascii="仿宋_GB2312" w:hAnsi="仿宋_GB2312" w:eastAsia="仿宋_GB2312" w:hint="eastAsia"/>
                <w:b/>
                <w:sz w:val="24"/>
              </w:rPr>
            </w:pPr>
            <w:r>
              <w:rPr>
                <w:rFonts w:eastAsia="仿宋_GB2312" w:hint="eastAsia" w:ascii="仿宋_GB2312" w:hAnsi="仿宋_GB2312"/>
                <w:b/>
                <w:sz w:val="24"/>
                <w:szCs w:val="32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eastAsia="仿宋_GB2312" w:hint="eastAsia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</w:tr>
      <w:tr>
        <w:trPr>
          <w:trHeight w:val="539" w:hRule="atLeas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4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仿宋_GB2312" w:hAnsi="仿宋_GB2312" w:eastAsia="仿宋_GB2312" w:hint="eastAsia"/>
                <w:b/>
                <w:sz w:val="24"/>
              </w:rPr>
            </w:pPr>
            <w:r>
              <w:rPr>
                <w:rFonts w:eastAsia="仿宋_GB2312" w:hint="eastAsia" w:ascii="仿宋_GB2312" w:hAnsi="仿宋_GB2312"/>
                <w:b/>
                <w:sz w:val="24"/>
                <w:szCs w:val="32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eastAsia="仿宋_GB2312" w:hint="eastAsia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</w:tr>
      <w:tr>
        <w:trPr>
          <w:trHeight w:val="539" w:hRule="atLeas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5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仿宋_GB2312" w:hAnsi="仿宋_GB2312" w:eastAsia="仿宋_GB2312" w:hint="eastAsia"/>
                <w:b/>
                <w:sz w:val="24"/>
              </w:rPr>
            </w:pPr>
            <w:r>
              <w:rPr>
                <w:rFonts w:eastAsia="仿宋_GB2312" w:hint="eastAsia" w:ascii="仿宋_GB2312" w:hAnsi="仿宋_GB2312"/>
                <w:b/>
                <w:sz w:val="24"/>
                <w:szCs w:val="32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eastAsia="仿宋_GB2312" w:hint="eastAsia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</w:tr>
      <w:tr>
        <w:trPr>
          <w:trHeight w:val="539" w:hRule="atLeas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6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ascii="仿宋_GB2312" w:hAnsi="仿宋_GB2312" w:eastAsia="仿宋_GB2312" w:hint="eastAsia"/>
                <w:b/>
                <w:sz w:val="24"/>
              </w:rPr>
            </w:pPr>
            <w:r>
              <w:rPr>
                <w:rFonts w:eastAsia="仿宋_GB2312" w:hint="eastAsia" w:ascii="仿宋_GB2312" w:hAnsi="仿宋_GB2312"/>
                <w:b/>
                <w:sz w:val="24"/>
                <w:szCs w:val="32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eastAsia="仿宋_GB2312" w:hint="eastAsia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</w:tr>
      <w:tr>
        <w:trPr>
          <w:trHeight w:val="539" w:hRule="atLeas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7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</w:tr>
      <w:tr>
        <w:trPr>
          <w:trHeight w:val="539" w:hRule="atLeas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8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</w:tr>
      <w:tr>
        <w:trPr>
          <w:trHeight w:val="539" w:hRule="atLeas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9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</w:tr>
      <w:tr>
        <w:trPr>
          <w:trHeight w:val="539" w:hRule="atLeas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10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</w:tr>
      <w:tr>
        <w:trPr>
          <w:trHeight w:val="539" w:hRule="atLeas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</w:tr>
      <w:tr>
        <w:trPr>
          <w:trHeight w:val="539" w:hRule="atLeas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12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</w:tr>
      <w:tr>
        <w:trPr>
          <w:trHeight w:val="539" w:hRule="atLeas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13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</w:tr>
      <w:tr>
        <w:trPr>
          <w:trHeight w:val="539" w:hRule="atLeas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14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</w:tr>
      <w:tr>
        <w:trPr>
          <w:trHeight w:val="539" w:hRule="atLeas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15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</w:tr>
      <w:tr>
        <w:trPr>
          <w:trHeight w:val="539" w:hRule="atLeas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16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</w:tr>
      <w:tr>
        <w:trPr>
          <w:trHeight w:val="539" w:hRule="atLeas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17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</w:tr>
      <w:tr>
        <w:trPr>
          <w:trHeight w:val="539" w:hRule="atLeast"/>
        </w:trPr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18</w:t>
            </w:r>
          </w:p>
        </w:tc>
        <w:tc>
          <w:tcPr>
            <w:tcW w:w="2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11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  <w:tc>
          <w:tcPr>
            <w:tcW w:w="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4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</w:tr>
    </w:tbl>
    <w:p>
      <w:pPr>
        <w:pStyle w:val="Normal"/>
        <w:rPr>
          <w:rFonts w:hint="eastAsia"/>
          <w:sz w:val="24"/>
        </w:rPr>
      </w:pPr>
      <w:r>
        <w:rPr>
          <w:rFonts w:ascii="仿宋_GB2312" w:hAnsi="仿宋_GB2312" w:hint="eastAsia" w:eastAsia="仿宋_GB2312"/>
          <w:sz w:val="24"/>
        </w:rPr>
        <w:t>律师在接办案件中填写，若送达给当事人的内容多，律师可视情况在空白栏目添加。</w:t>
      </w:r>
    </w:p>
    <w:sectPr>
      <w:headerReference w:type="default" r:id="rId2"/>
      <w:footerReference w:type="default" r:id="rId3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31445"/>
              <wp:effectExtent l="0" t="0" r="0" b="0"/>
              <wp:wrapSquare wrapText="bothSides"/>
              <wp:docPr id="1" name="框架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10.35pt;mso-wrap-distance-left:0pt;mso-wrap-distance-right:0pt;mso-wrap-distance-top:0pt;mso-wrap-distance-bottom:0pt;margin-top:0.05pt;mso-position-vertical-relative:text;margin-left:205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ZjM0N2YzOTYyNTEzYjgwZDZlNTM0ZGU1ZDJjMWQ3OTU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  <w:style w:type="paragraph" w:styleId="Style20">
    <w:name w:val="框架内容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2012-05-10T12:23:00Z</dcterms:created>
  <dc:creator>周南燕</dc:creator>
  <dc:description/>
  <cp:keywords/>
  <dc:language>zh-CN</dc:language>
  <cp:lastModifiedBy>Administrator</cp:lastModifiedBy>
  <dcterms:modified xsi:type="dcterms:W3CDTF">2023-11-08T16:58:00Z</dcterms:modified>
  <cp:revision>2</cp:revision>
  <dc:subject/>
  <dc:title>律师所送达材料清单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7ED83C90873F4F9FBF09F99424829830_12</vt:lpwstr>
  </property>
  <property fmtid="{D5CDD505-2E9C-101B-9397-08002B2CF9AE}" pid="3" name="KSOProductBuildVer">
    <vt:lpwstr>2052-12.1.0.15712</vt:lpwstr>
  </property>
</Properties>
</file>