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MANUAL TÉCNICO DE IMPLEMENTACIÓN</w:t>
      </w:r>
    </w:p>
    <w:p>
      <w:pPr>
        <w:pStyle w:val="Heading2"/>
        <w:jc w:val="center"/>
      </w:pPr>
      <w:r>
        <w:t>SISTEMA RECRED (RECREOPAGO) - CI/CD &amp; ARQUITECTURA</w:t>
        <w:br/>
      </w:r>
    </w:p>
    <w:p>
      <w:pPr>
        <w:jc w:val="center"/>
      </w:pPr>
      <w:r>
        <w:rPr>
          <w:b/>
        </w:rPr>
        <w:t>Versión: 1.0</w:t>
        <w:br/>
      </w:r>
      <w:r>
        <w:rPr>
          <w:b/>
        </w:rPr>
        <w:t>Destinatario: Equipo de Desarrollo e Ingeniería DevOps</w:t>
        <w:br/>
      </w:r>
      <w:r>
        <w:t>Clasificación: Interno / Confidencial</w:t>
      </w:r>
    </w:p>
    <w:p>
      <w:r>
        <w:br w:type="page"/>
      </w:r>
    </w:p>
    <w:p>
      <w:pPr>
        <w:pStyle w:val="Heading1"/>
      </w:pPr>
      <w:r>
        <w:t>1. Visión General y Arquitectura del Sistema</w:t>
      </w:r>
    </w:p>
    <w:p>
      <w:r>
        <w:t>El presente manual estandariza los procedimientos de configuración, desarrollo local y despliegue en producción del sistema Recred. Este documento está diseñado para garantizar la correcta transferencia tecnológica, el aislamiento de entornos mediante contenedores y la estandarización de los flujos de Integración Continua (CI) y Despliegue Continuo (CD).</w:t>
      </w:r>
    </w:p>
    <w:p>
      <w:pPr>
        <w:pStyle w:val="Heading2"/>
      </w:pPr>
      <w:r>
        <w:t>1.1 Stack Tecnológico Principal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365D" w:val="clear" w:color="auto"/>
          </w:tcPr>
          <w:p>
            <w:r>
              <w:rPr>
                <w:b/>
                <w:color w:val="FFFFFF"/>
              </w:rPr>
              <w:t>Componente</w:t>
            </w:r>
          </w:p>
        </w:tc>
        <w:tc>
          <w:tcPr>
            <w:tcW w:type="dxa" w:w="2880"/>
            <w:shd w:fill="1B365D" w:val="clear" w:color="auto"/>
          </w:tcPr>
          <w:p>
            <w:r>
              <w:rPr>
                <w:b/>
                <w:color w:val="FFFFFF"/>
              </w:rPr>
              <w:t>Tecnología Base</w:t>
            </w:r>
          </w:p>
        </w:tc>
        <w:tc>
          <w:tcPr>
            <w:tcW w:type="dxa" w:w="2880"/>
            <w:shd w:fill="1B365D" w:val="clear" w:color="auto"/>
          </w:tcPr>
          <w:p>
            <w:r>
              <w:rPr>
                <w:b/>
                <w:color w:val="FFFFFF"/>
              </w:rPr>
              <w:t>Propósito y Rol en la Arquitectura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Angular (Node.js/npm)</w:t>
            </w:r>
          </w:p>
        </w:tc>
        <w:tc>
          <w:tcPr>
            <w:tcW w:type="dxa" w:w="2880"/>
          </w:tcPr>
          <w:p>
            <w:r>
              <w:t>SPA (Single Page Application) que maneja la interfaz de cliente e interactúa con la API y Cognito.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Java 17 &amp; Spring Boot 3/4</w:t>
            </w:r>
          </w:p>
        </w:tc>
        <w:tc>
          <w:tcPr>
            <w:tcW w:type="dxa" w:w="2880"/>
          </w:tcPr>
          <w:p>
            <w:r>
              <w:t>API RESTful central. Expone la lógica de negocio, seguridad vía JWT e integración transaccional.</w:t>
            </w:r>
          </w:p>
        </w:tc>
      </w:tr>
      <w:tr>
        <w:tc>
          <w:tcPr>
            <w:tcW w:type="dxa" w:w="2880"/>
          </w:tcPr>
          <w:p>
            <w:r>
              <w:t>Base de Datos</w:t>
            </w:r>
          </w:p>
        </w:tc>
        <w:tc>
          <w:tcPr>
            <w:tcW w:type="dxa" w:w="2880"/>
          </w:tcPr>
          <w:p>
            <w:r>
              <w:t>PostgreSQL 16 (Supabase)</w:t>
            </w:r>
          </w:p>
        </w:tc>
        <w:tc>
          <w:tcPr>
            <w:tcW w:type="dxa" w:w="2880"/>
          </w:tcPr>
          <w:p>
            <w:r>
              <w:t>Persistencia de datos. En producción operado como DBaaS. En local contenedorizado.</w:t>
            </w:r>
          </w:p>
        </w:tc>
      </w:tr>
      <w:tr>
        <w:tc>
          <w:tcPr>
            <w:tcW w:type="dxa" w:w="2880"/>
          </w:tcPr>
          <w:p>
            <w:r>
              <w:t>Autenticación</w:t>
            </w:r>
          </w:p>
        </w:tc>
        <w:tc>
          <w:tcPr>
            <w:tcW w:type="dxa" w:w="2880"/>
          </w:tcPr>
          <w:p>
            <w:r>
              <w:t>AWS Cognito</w:t>
            </w:r>
          </w:p>
        </w:tc>
        <w:tc>
          <w:tcPr>
            <w:tcW w:type="dxa" w:w="2880"/>
          </w:tcPr>
          <w:p>
            <w:r>
              <w:t>Gestión de identidades, flujos de login/registro y emisión de tokens seguros.</w:t>
            </w:r>
          </w:p>
        </w:tc>
      </w:tr>
      <w:tr>
        <w:tc>
          <w:tcPr>
            <w:tcW w:type="dxa" w:w="2880"/>
          </w:tcPr>
          <w:p>
            <w:r>
              <w:t>Infraestructura Web</w:t>
            </w:r>
          </w:p>
        </w:tc>
        <w:tc>
          <w:tcPr>
            <w:tcW w:type="dxa" w:w="2880"/>
          </w:tcPr>
          <w:p>
            <w:r>
              <w:t>Netlify</w:t>
            </w:r>
          </w:p>
        </w:tc>
        <w:tc>
          <w:tcPr>
            <w:tcW w:type="dxa" w:w="2880"/>
          </w:tcPr>
          <w:p>
            <w:r>
              <w:t>Hosting y CDN distribuida para la aplicación frontend estática.</w:t>
            </w:r>
          </w:p>
        </w:tc>
      </w:tr>
      <w:tr>
        <w:tc>
          <w:tcPr>
            <w:tcW w:type="dxa" w:w="2880"/>
          </w:tcPr>
          <w:p>
            <w:r>
              <w:t>Infraestructura API</w:t>
            </w:r>
          </w:p>
        </w:tc>
        <w:tc>
          <w:tcPr>
            <w:tcW w:type="dxa" w:w="2880"/>
          </w:tcPr>
          <w:p>
            <w:r>
              <w:t>AWS EC2</w:t>
            </w:r>
          </w:p>
        </w:tc>
        <w:tc>
          <w:tcPr>
            <w:tcW w:type="dxa" w:w="2880"/>
          </w:tcPr>
          <w:p>
            <w:r>
              <w:t>Servidor de despliegue donde corre la API Spring Boot alojada dentro de un contenedor Docker.</w:t>
            </w:r>
          </w:p>
        </w:tc>
      </w:tr>
      <w:tr>
        <w:tc>
          <w:tcPr>
            <w:tcW w:type="dxa" w:w="2880"/>
          </w:tcPr>
          <w:p>
            <w:r>
              <w:t>Orquestación / CI</w:t>
            </w:r>
          </w:p>
        </w:tc>
        <w:tc>
          <w:tcPr>
            <w:tcW w:type="dxa" w:w="2880"/>
          </w:tcPr>
          <w:p>
            <w:r>
              <w:t>GitHub Actions</w:t>
            </w:r>
          </w:p>
        </w:tc>
        <w:tc>
          <w:tcPr>
            <w:tcW w:type="dxa" w:w="2880"/>
          </w:tcPr>
          <w:p>
            <w:r>
              <w:t>Automatización de flujos: linter, tests (unit/web/integration), compilación y delivery a EC2/Netlify.</w:t>
            </w:r>
          </w:p>
        </w:tc>
      </w:tr>
    </w:tbl>
    <w:p/>
    <w:p>
      <w:pPr>
        <w:pStyle w:val="Heading1"/>
      </w:pPr>
      <w:r>
        <w:t>2. Configuración del Entorno de Desarrollo Local</w:t>
      </w:r>
    </w:p>
    <w:p>
      <w:r>
        <w:t>Para garantizar la paridad entre desarrollo y producción, es obligatorio configurar el entorno siguiendo estas normativas de seguridad y aislamiento.</w:t>
      </w:r>
    </w:p>
    <w:p>
      <w:pPr>
        <w:pStyle w:val="Heading2"/>
      </w:pPr>
      <w:r>
        <w:t>2.1 Requisitos Previos</w:t>
      </w:r>
    </w:p>
    <w:p>
      <w:pPr>
        <w:pStyle w:val="ListBullet"/>
      </w:pPr>
      <w:r>
        <w:rPr>
          <w:b/>
        </w:rPr>
        <w:t xml:space="preserve">Java Development Kit (JDK) 17: </w:t>
      </w:r>
      <w:r>
        <w:t>Se recomienda la distribución Eclipse Temurin.</w:t>
      </w:r>
    </w:p>
    <w:p>
      <w:pPr>
        <w:pStyle w:val="ListBullet"/>
      </w:pPr>
      <w:r>
        <w:rPr>
          <w:b/>
        </w:rPr>
        <w:t xml:space="preserve">Node.js &amp; npm: </w:t>
      </w:r>
      <w:r>
        <w:t>Versión LTS (Long-Term Support).</w:t>
      </w:r>
    </w:p>
    <w:p>
      <w:pPr>
        <w:pStyle w:val="ListBullet"/>
      </w:pPr>
      <w:r>
        <w:rPr>
          <w:b/>
        </w:rPr>
        <w:t xml:space="preserve">Docker Desktop &amp; Docker Compose: </w:t>
      </w:r>
      <w:r>
        <w:t>Obligatorio para la orquestación del servidor y base de datos.</w:t>
      </w:r>
    </w:p>
    <w:p>
      <w:pPr>
        <w:pStyle w:val="ListBullet"/>
      </w:pPr>
      <w:r>
        <w:rPr>
          <w:b/>
        </w:rPr>
        <w:t xml:space="preserve">Apache Maven: </w:t>
      </w:r>
      <w:r>
        <w:t>Para ejecución y validación independiente del wrapper local.</w:t>
      </w:r>
    </w:p>
    <w:p>
      <w:pPr>
        <w:pStyle w:val="Heading2"/>
      </w:pPr>
      <w:r>
        <w:t>2.2 Cliente Web (Frontend - Angular)</w:t>
      </w:r>
    </w:p>
    <w:p>
      <w:r>
        <w:t>El proyecto no sube credenciales al repositorio. El gestor de entorno requiere un archivo .env en la raíz para inyectar configuraciones dinámicamente utilizando el script interno set-env.js.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365D" w:val="clear" w:color="auto"/>
          </w:tcPr>
          <w:p>
            <w:r>
              <w:rPr>
                <w:b/>
                <w:color w:val="FFFFFF"/>
              </w:rPr>
              <w:t>Variable</w:t>
            </w:r>
          </w:p>
        </w:tc>
        <w:tc>
          <w:tcPr>
            <w:tcW w:type="dxa" w:w="2880"/>
            <w:shd w:fill="1B365D" w:val="clear" w:color="auto"/>
          </w:tcPr>
          <w:p>
            <w:r>
              <w:rPr>
                <w:b/>
                <w:color w:val="FFFFFF"/>
              </w:rPr>
              <w:t>Valor en Desarrollo Local</w:t>
            </w:r>
          </w:p>
        </w:tc>
        <w:tc>
          <w:tcPr>
            <w:tcW w:type="dxa" w:w="2880"/>
            <w:shd w:fill="1B365D" w:val="clear" w:color="auto"/>
          </w:tcPr>
          <w:p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t>COGNITO_USER_POOL_ID</w:t>
            </w:r>
          </w:p>
        </w:tc>
        <w:tc>
          <w:tcPr>
            <w:tcW w:type="dxa" w:w="2880"/>
          </w:tcPr>
          <w:p>
            <w:r>
              <w:t>[Pool ID AWS Cognito]</w:t>
            </w:r>
          </w:p>
        </w:tc>
        <w:tc>
          <w:tcPr>
            <w:tcW w:type="dxa" w:w="2880"/>
          </w:tcPr>
          <w:p>
            <w:r>
              <w:t>Identificador único del conjunto de usuarios en AWS.</w:t>
            </w:r>
          </w:p>
        </w:tc>
      </w:tr>
      <w:tr>
        <w:tc>
          <w:tcPr>
            <w:tcW w:type="dxa" w:w="2880"/>
          </w:tcPr>
          <w:p>
            <w:r>
              <w:t>COGNITO_CLIENT_ID</w:t>
            </w:r>
          </w:p>
        </w:tc>
        <w:tc>
          <w:tcPr>
            <w:tcW w:type="dxa" w:w="2880"/>
          </w:tcPr>
          <w:p>
            <w:r>
              <w:t>[Client ID AWS Cognito]</w:t>
            </w:r>
          </w:p>
        </w:tc>
        <w:tc>
          <w:tcPr>
            <w:tcW w:type="dxa" w:w="2880"/>
          </w:tcPr>
          <w:p>
            <w:r>
              <w:t>Identificador de la aplicación cliente conectada.</w:t>
            </w:r>
          </w:p>
        </w:tc>
      </w:tr>
      <w:tr>
        <w:tc>
          <w:tcPr>
            <w:tcW w:type="dxa" w:w="2880"/>
          </w:tcPr>
          <w:p>
            <w:r>
              <w:t>COGNITO_REGION</w:t>
            </w:r>
          </w:p>
        </w:tc>
        <w:tc>
          <w:tcPr>
            <w:tcW w:type="dxa" w:w="2880"/>
          </w:tcPr>
          <w:p>
            <w:r>
              <w:t>[ej. us-east-1]</w:t>
            </w:r>
          </w:p>
        </w:tc>
        <w:tc>
          <w:tcPr>
            <w:tcW w:type="dxa" w:w="2880"/>
          </w:tcPr>
          <w:p>
            <w:r>
              <w:t>Región donde se aloja el servicio Cognito.</w:t>
            </w:r>
          </w:p>
        </w:tc>
      </w:tr>
      <w:tr>
        <w:tc>
          <w:tcPr>
            <w:tcW w:type="dxa" w:w="2880"/>
          </w:tcPr>
          <w:p>
            <w:r>
              <w:t>REDIRECT_SIGN_IN</w:t>
            </w:r>
          </w:p>
        </w:tc>
        <w:tc>
          <w:tcPr>
            <w:tcW w:type="dxa" w:w="2880"/>
          </w:tcPr>
          <w:p>
            <w:r>
              <w:t>http://localhost:4200</w:t>
            </w:r>
          </w:p>
        </w:tc>
        <w:tc>
          <w:tcPr>
            <w:tcW w:type="dxa" w:w="2880"/>
          </w:tcPr>
          <w:p>
            <w:r>
              <w:t>URL de redirección post-login exitoso.</w:t>
            </w:r>
          </w:p>
        </w:tc>
      </w:tr>
      <w:tr>
        <w:tc>
          <w:tcPr>
            <w:tcW w:type="dxa" w:w="2880"/>
          </w:tcPr>
          <w:p>
            <w:r>
              <w:t>REDIRECT_SIGN_OUT</w:t>
            </w:r>
          </w:p>
        </w:tc>
        <w:tc>
          <w:tcPr>
            <w:tcW w:type="dxa" w:w="2880"/>
          </w:tcPr>
          <w:p>
            <w:r>
              <w:t>http://localhost:4200</w:t>
            </w:r>
          </w:p>
        </w:tc>
        <w:tc>
          <w:tcPr>
            <w:tcW w:type="dxa" w:w="2880"/>
          </w:tcPr>
          <w:p>
            <w:r>
              <w:t>URL de redirección post-logout.</w:t>
            </w:r>
          </w:p>
        </w:tc>
      </w:tr>
      <w:tr>
        <w:tc>
          <w:tcPr>
            <w:tcW w:type="dxa" w:w="2880"/>
          </w:tcPr>
          <w:p>
            <w:r>
              <w:t>API_URL</w:t>
            </w:r>
          </w:p>
        </w:tc>
        <w:tc>
          <w:tcPr>
            <w:tcW w:type="dxa" w:w="2880"/>
          </w:tcPr>
          <w:p>
            <w:r>
              <w:t>http://localhost:8080</w:t>
            </w:r>
          </w:p>
        </w:tc>
        <w:tc>
          <w:tcPr>
            <w:tcW w:type="dxa" w:w="2880"/>
          </w:tcPr>
          <w:p>
            <w:r>
              <w:t>Endpoint base del backend local (Spring Boot).</w:t>
            </w:r>
          </w:p>
        </w:tc>
      </w:tr>
    </w:tbl>
    <w:p/>
    <w:p>
      <w:pPr/>
      <w:r>
        <w:t>Una vez creado el archivo .env, ejecute el servidor de desarrollo local:</w:t>
      </w:r>
    </w:p>
    <w:p>
      <w:pPr>
        <w:pStyle w:val="CodeBlock"/>
      </w:pPr>
      <w:r>
        <w:t>npm install</w:t>
        <w:br/>
        <w:t>npm start</w:t>
      </w:r>
    </w:p>
    <w:p>
      <w:pPr>
        <w:pStyle w:val="Heading2"/>
      </w:pPr>
      <w:r>
        <w:t>2.3 Servidor (Backend - Spring Boot y PostgreSQL)</w:t>
      </w:r>
    </w:p>
    <w:p>
      <w:r>
        <w:t>La API y la base de datos están configuradas en un entorno de Docker Compose que incluye un healthcheck nativo para asegurar que la DB esté receptiva antes de iniciar el Backend.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365D" w:val="clear" w:color="auto"/>
          </w:tcPr>
          <w:p>
            <w:r>
              <w:rPr>
                <w:b/>
                <w:color w:val="FFFFFF"/>
              </w:rPr>
              <w:t>Variable</w:t>
            </w:r>
          </w:p>
        </w:tc>
        <w:tc>
          <w:tcPr>
            <w:tcW w:type="dxa" w:w="2880"/>
            <w:shd w:fill="1B365D" w:val="clear" w:color="auto"/>
          </w:tcPr>
          <w:p>
            <w:r>
              <w:rPr>
                <w:b/>
                <w:color w:val="FFFFFF"/>
              </w:rPr>
              <w:t>Valor en Desarrollo Local</w:t>
            </w:r>
          </w:p>
        </w:tc>
        <w:tc>
          <w:tcPr>
            <w:tcW w:type="dxa" w:w="2880"/>
            <w:shd w:fill="1B365D" w:val="clear" w:color="auto"/>
          </w:tcPr>
          <w:p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t>POSTGRES_DB</w:t>
            </w:r>
          </w:p>
        </w:tc>
        <w:tc>
          <w:tcPr>
            <w:tcW w:type="dxa" w:w="2880"/>
          </w:tcPr>
          <w:p>
            <w:r>
              <w:t>recred_local</w:t>
            </w:r>
          </w:p>
        </w:tc>
        <w:tc>
          <w:tcPr>
            <w:tcW w:type="dxa" w:w="2880"/>
          </w:tcPr>
          <w:p>
            <w:r>
              <w:t>Nombre de la base de datos inicializada por Docker.</w:t>
            </w:r>
          </w:p>
        </w:tc>
      </w:tr>
      <w:tr>
        <w:tc>
          <w:tcPr>
            <w:tcW w:type="dxa" w:w="2880"/>
          </w:tcPr>
          <w:p>
            <w:r>
              <w:t>POSTGRES_USER</w:t>
            </w:r>
          </w:p>
        </w:tc>
        <w:tc>
          <w:tcPr>
            <w:tcW w:type="dxa" w:w="2880"/>
          </w:tcPr>
          <w:p>
            <w:r>
              <w:t>postgres</w:t>
            </w:r>
          </w:p>
        </w:tc>
        <w:tc>
          <w:tcPr>
            <w:tcW w:type="dxa" w:w="2880"/>
          </w:tcPr>
          <w:p>
            <w:r>
              <w:t>Usuario maestro de acceso local.</w:t>
            </w:r>
          </w:p>
        </w:tc>
      </w:tr>
      <w:tr>
        <w:tc>
          <w:tcPr>
            <w:tcW w:type="dxa" w:w="2880"/>
          </w:tcPr>
          <w:p>
            <w:r>
              <w:t>POSTGRES_PASSWORD</w:t>
            </w:r>
          </w:p>
        </w:tc>
        <w:tc>
          <w:tcPr>
            <w:tcW w:type="dxa" w:w="2880"/>
          </w:tcPr>
          <w:p>
            <w:r>
              <w:t>postgres</w:t>
            </w:r>
          </w:p>
        </w:tc>
        <w:tc>
          <w:tcPr>
            <w:tcW w:type="dxa" w:w="2880"/>
          </w:tcPr>
          <w:p>
            <w:r>
              <w:t>Contraseña del usuario maestro.</w:t>
            </w:r>
          </w:p>
        </w:tc>
      </w:tr>
      <w:tr>
        <w:tc>
          <w:tcPr>
            <w:tcW w:type="dxa" w:w="2880"/>
          </w:tcPr>
          <w:p>
            <w:r>
              <w:t>DB_URL</w:t>
            </w:r>
          </w:p>
        </w:tc>
        <w:tc>
          <w:tcPr>
            <w:tcW w:type="dxa" w:w="2880"/>
          </w:tcPr>
          <w:p>
            <w:r>
              <w:t>jdbc:postgresql://postgres:5432/recred_local</w:t>
            </w:r>
          </w:p>
        </w:tc>
        <w:tc>
          <w:tcPr>
            <w:tcW w:type="dxa" w:w="2880"/>
          </w:tcPr>
          <w:p>
            <w:r>
              <w:t>URL de conexión JDBC. IMPORTANTE: El host debe ser 'postgres', no localhost, para permitir la resolución en la red interna de Docker.</w:t>
            </w:r>
          </w:p>
        </w:tc>
      </w:tr>
      <w:tr>
        <w:tc>
          <w:tcPr>
            <w:tcW w:type="dxa" w:w="2880"/>
          </w:tcPr>
          <w:p>
            <w:r>
              <w:t>DB_USERNAME</w:t>
            </w:r>
          </w:p>
        </w:tc>
        <w:tc>
          <w:tcPr>
            <w:tcW w:type="dxa" w:w="2880"/>
          </w:tcPr>
          <w:p>
            <w:r>
              <w:t>postgres</w:t>
            </w:r>
          </w:p>
        </w:tc>
        <w:tc>
          <w:tcPr>
            <w:tcW w:type="dxa" w:w="2880"/>
          </w:tcPr>
          <w:p>
            <w:r>
              <w:t>Usuario de conexión del backend.</w:t>
            </w:r>
          </w:p>
        </w:tc>
      </w:tr>
      <w:tr>
        <w:tc>
          <w:tcPr>
            <w:tcW w:type="dxa" w:w="2880"/>
          </w:tcPr>
          <w:p>
            <w:r>
              <w:t>DB_PASSWORD</w:t>
            </w:r>
          </w:p>
        </w:tc>
        <w:tc>
          <w:tcPr>
            <w:tcW w:type="dxa" w:w="2880"/>
          </w:tcPr>
          <w:p>
            <w:r>
              <w:t>postgres</w:t>
            </w:r>
          </w:p>
        </w:tc>
        <w:tc>
          <w:tcPr>
            <w:tcW w:type="dxa" w:w="2880"/>
          </w:tcPr>
          <w:p>
            <w:r>
              <w:t>Contraseña de conexión del backend.</w:t>
            </w:r>
          </w:p>
        </w:tc>
      </w:tr>
    </w:tbl>
    <w:p/>
    <w:p>
      <w:pPr/>
      <w:r>
        <w:t>Comandos de inicialización:</w:t>
      </w:r>
    </w:p>
    <w:p>
      <w:pPr>
        <w:pStyle w:val="CodeBlock"/>
      </w:pPr>
      <w:r>
        <w:t># Clonar el archivo de ejemplo a su entorno real</w:t>
        <w:br/>
        <w:t>cp .env.example .env</w:t>
        <w:br/>
        <w:br/>
        <w:t># Construir y levantar contenedores en background</w:t>
        <w:br/>
        <w:t>docker compose up --build -d</w:t>
      </w:r>
    </w:p>
    <w:p>
      <w:r>
        <w:t>Verificación de conectividad: Valide la salud del microservicio consultando el endpoint del actuador:</w:t>
      </w:r>
    </w:p>
    <w:p>
      <w:pPr>
        <w:pStyle w:val="CodeBlock"/>
      </w:pPr>
      <w:r>
        <w:t>GET http://localhost:8080/actuator/health</w:t>
      </w:r>
    </w:p>
    <w:p>
      <w:r>
        <w:br w:type="page"/>
      </w:r>
    </w:p>
    <w:p>
      <w:pPr>
        <w:pStyle w:val="Heading1"/>
      </w:pPr>
      <w:r>
        <w:t>3. Estrategia de Testing y Control de Calidad</w:t>
      </w:r>
    </w:p>
    <w:p>
      <w:pPr>
        <w:pStyle w:val="Heading2"/>
      </w:pPr>
      <w:r>
        <w:t>3.1 Validaciones Pre-Push del Frontend</w:t>
      </w:r>
    </w:p>
    <w:p>
      <w:r>
        <w:t>Antes de integrar código (Push/PR), es obligatorio validar la calidad estática y funcional:</w:t>
      </w:r>
    </w:p>
    <w:p>
      <w:pPr>
        <w:pStyle w:val="CodeBlock"/>
      </w:pPr>
      <w:r>
        <w:t>npm run lint &amp;&amp; npm test -- --watch=false --browsers=ChromeHeadless &amp;&amp; npm run build -- --configuration=production</w:t>
      </w:r>
    </w:p>
    <w:p>
      <w:pPr>
        <w:pStyle w:val="Heading2"/>
      </w:pPr>
      <w:r>
        <w:t>3.2 Jerarquía de Tests del Backend (Maven Profiles)</w:t>
      </w:r>
    </w:p>
    <w:p>
      <w:r>
        <w:t>Se ha configurado una estructura jerárquica con perfiles (Profiles) de Maven para optimizar los tiempos de ejecución y distinguir entre la lógica del dominio puro y los adaptadores de infraestructura.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365D" w:val="clear" w:color="auto"/>
          </w:tcPr>
          <w:p>
            <w:r>
              <w:rPr>
                <w:b/>
                <w:color w:val="FFFFFF"/>
              </w:rPr>
              <w:t>Tipo de Prueba</w:t>
            </w:r>
          </w:p>
        </w:tc>
        <w:tc>
          <w:tcPr>
            <w:tcW w:type="dxa" w:w="2880"/>
            <w:shd w:fill="1B365D" w:val="clear" w:color="auto"/>
          </w:tcPr>
          <w:p>
            <w:r>
              <w:rPr>
                <w:b/>
                <w:color w:val="FFFFFF"/>
              </w:rPr>
              <w:t>Comando de Ejecución</w:t>
            </w:r>
          </w:p>
        </w:tc>
        <w:tc>
          <w:tcPr>
            <w:tcW w:type="dxa" w:w="2880"/>
            <w:shd w:fill="1B365D" w:val="clear" w:color="auto"/>
          </w:tcPr>
          <w:p>
            <w:r>
              <w:rPr>
                <w:b/>
                <w:color w:val="FFFFFF"/>
              </w:rPr>
              <w:t>Descripción / Impacto</w:t>
            </w:r>
          </w:p>
        </w:tc>
      </w:tr>
      <w:tr>
        <w:tc>
          <w:tcPr>
            <w:tcW w:type="dxa" w:w="2880"/>
          </w:tcPr>
          <w:p>
            <w:r>
              <w:t>Unitarios (El Cerebro)</w:t>
            </w:r>
          </w:p>
        </w:tc>
        <w:tc>
          <w:tcPr>
            <w:tcW w:type="dxa" w:w="2880"/>
          </w:tcPr>
          <w:p>
            <w:r>
              <w:t>./mvnw test -Punit</w:t>
            </w:r>
          </w:p>
        </w:tc>
        <w:tc>
          <w:tcPr>
            <w:tcW w:type="dxa" w:w="2880"/>
          </w:tcPr>
          <w:p>
            <w:r>
              <w:t>Lógica pura de negocio (Casos de uso/Modelos) usando JUnit 5 y Mockito. Ejecución ultrarrápida sin Spring context.</w:t>
            </w:r>
          </w:p>
        </w:tc>
      </w:tr>
      <w:tr>
        <w:tc>
          <w:tcPr>
            <w:tcW w:type="dxa" w:w="2880"/>
          </w:tcPr>
          <w:p>
            <w:r>
              <w:t>Integración Web (El Contrato)</w:t>
            </w:r>
          </w:p>
        </w:tc>
        <w:tc>
          <w:tcPr>
            <w:tcW w:type="dxa" w:w="2880"/>
          </w:tcPr>
          <w:p>
            <w:r>
              <w:t>./mvnw test -Pweb</w:t>
            </w:r>
          </w:p>
        </w:tc>
        <w:tc>
          <w:tcPr>
            <w:tcW w:type="dxa" w:w="2880"/>
          </w:tcPr>
          <w:p>
            <w:r>
              <w:t>Validación de la API y ruteo utilizando @WebMvcTest y Mockito puro.</w:t>
            </w:r>
          </w:p>
        </w:tc>
      </w:tr>
      <w:tr>
        <w:tc>
          <w:tcPr>
            <w:tcW w:type="dxa" w:w="2880"/>
          </w:tcPr>
          <w:p>
            <w:r>
              <w:t>Integración Infra (Los Cables)</w:t>
            </w:r>
          </w:p>
        </w:tc>
        <w:tc>
          <w:tcPr>
            <w:tcW w:type="dxa" w:w="2880"/>
          </w:tcPr>
          <w:p>
            <w:r>
              <w:t>./mvnw test -Pintegration</w:t>
              <w:br/>
              <w:t>./mvnw failsafe:integration-test</w:t>
            </w:r>
          </w:p>
        </w:tc>
        <w:tc>
          <w:tcPr>
            <w:tcW w:type="dxa" w:w="2880"/>
          </w:tcPr>
          <w:p>
            <w:r>
              <w:t>Ejecuta clases con terminación *IT.java. Validación quirúrgica de repositorios de datos y servicios externos.</w:t>
            </w:r>
          </w:p>
        </w:tc>
      </w:tr>
    </w:tbl>
    <w:p/>
    <w:p>
      <w:pPr>
        <w:pStyle w:val="Heading1"/>
      </w:pPr>
      <w:r>
        <w:t>4. Pipeline de CI/CD (GitHub Actions)</w:t>
      </w:r>
    </w:p>
    <w:p>
      <w:r>
        <w:t>La automatización del ciclo de vida asegura despliegues sin interrupciones y filtros estrictos contra regresiones de código.</w:t>
      </w:r>
    </w:p>
    <w:p>
      <w:pPr>
        <w:pStyle w:val="Heading2"/>
      </w:pPr>
      <w:r>
        <w:t>4.1 Integración Continua Dinámica (CI)</w:t>
      </w:r>
    </w:p>
    <w:p>
      <w:r>
        <w:t>El flujo automatizado en GitHub Actions posee comportamiento condicional:</w:t>
        <w:br/>
        <w:t>• Ramas Feature (feature/*): Corren únicamente pruebas unitarias rápidas (-Punit) para otorgar feedback al desarrollador en menos de un minuto.</w:t>
        <w:br/>
        <w:t>• Ramas Protegidas (develop/main): Ejecutan la validación exhaustiva (mvn clean verify), chequeando cobertura y estilos restrictivos (prohibidos imports con wildcards como 'com.recred.*').</w:t>
      </w:r>
    </w:p>
    <w:p>
      <w:pPr>
        <w:pStyle w:val="Heading2"/>
      </w:pPr>
      <w:r>
        <w:t>4.2 Despliegue en Servidor AWS EC2 (CD)</w:t>
      </w:r>
    </w:p>
    <w:p>
      <w:r>
        <w:t>El despliegue productivo solo se gatilla tras un push o merge a la rama 'main'. El flujo de acciones es el siguiente:</w:t>
      </w:r>
    </w:p>
    <w:p>
      <w:r>
        <w:t>1. Construcción de la Imagen Docker del backend utilizando el Dockerfile multi-stage.</w:t>
      </w:r>
    </w:p>
    <w:p>
      <w:r>
        <w:t>2. Etiquetado de la imagen con el SHA del commit actual (recred-backend:${{ github.sha }}).</w:t>
      </w:r>
    </w:p>
    <w:p>
      <w:r>
        <w:t>3. Compresión en formato .tar.gz (recred-backend.tar.gz).</w:t>
      </w:r>
    </w:p>
    <w:p>
      <w:r>
        <w:t>4. Transferencia de la imagen comprimida y el archivo docker-compose.yml al servidor EC2 en la ruta: /home/ubuntu/recred-app.</w:t>
      </w:r>
    </w:p>
    <w:p>
      <w:r>
        <w:t>5. Ejecución en EC2 mediante comandos SSH para cargar la imagen (docker load), detener los contenedores previos de forma controlada y levantar la aplicación inyectando el tag exacto de la imagen, utilizando la bandera '--no-build' para evitar compilaciones secundarias.</w:t>
      </w:r>
    </w:p>
    <w:p>
      <w:pPr>
        <w:pStyle w:val="Heading2"/>
      </w:pPr>
      <w:r>
        <w:t>4.3 Requisitos y Configuración de la Instancia EC2</w:t>
      </w:r>
    </w:p>
    <w:p>
      <w:r>
        <w:t>Para que el Pipeline finalice el aprovisionamiento, el servidor AWS EC2 destino debe contar con:</w:t>
      </w:r>
    </w:p>
    <w:p>
      <w:pPr>
        <w:pStyle w:val="ListBullet"/>
      </w:pPr>
      <w:r>
        <w:t>Docker y Docker Compose instalados y configurados para arrancar con el OS.</w:t>
      </w:r>
    </w:p>
    <w:p>
      <w:pPr>
        <w:pStyle w:val="ListBullet"/>
      </w:pPr>
      <w:r>
        <w:t>Existencia del directorio: /home/ubuntu/recred-app</w:t>
      </w:r>
    </w:p>
    <w:p>
      <w:pPr>
        <w:pStyle w:val="ListBullet"/>
      </w:pPr>
      <w:r>
        <w:t>El archivo .env productivo alojado y configurado en dicho directorio (con conexiones reales a Cognito y PostgreSQL Supabase).</w:t>
      </w:r>
    </w:p>
    <w:p>
      <w:pPr>
        <w:pStyle w:val="ListBullet"/>
      </w:pPr>
      <w:r>
        <w:t>Regla en el Security Group de AWS habilitando la entrada TCP sobre el puerto 8080.</w:t>
      </w:r>
    </w:p>
    <w:p>
      <w:pPr/>
      <w:r>
        <w:t>Comandos ejecutados dinámicamente por el CD:</w:t>
      </w:r>
    </w:p>
    <w:p>
      <w:pPr>
        <w:pStyle w:val="CodeBlock"/>
      </w:pPr>
      <w:r>
        <w:t>sudo systemctl stop recred.service || true</w:t>
        <w:br/>
        <w:t>sudo docker rm -f recred-backend || true</w:t>
        <w:br/>
        <w:t>sudo env BACKEND_IMAGE=recred-backend:${{ github.sha }} docker compose up -d --no-build</w:t>
        <w:br/>
        <w:t>sudo docker image prune -f</w:t>
      </w:r>
    </w:p>
    <w:p>
      <w:pPr>
        <w:pStyle w:val="Heading1"/>
      </w:pPr>
      <w:r>
        <w:t>5. Soporte y Recuperación (Troubleshooting)</w:t>
      </w:r>
    </w:p>
    <w:p>
      <w:r>
        <w:t>Acciones rápidas frente a contingencias en producción o desarrollo local:</w:t>
      </w:r>
    </w:p>
    <w:p>
      <w:pPr>
        <w:pStyle w:val="ListBullet"/>
      </w:pPr>
      <w:r>
        <w:rPr>
          <w:b/>
        </w:rPr>
        <w:t xml:space="preserve">Corrupción de la DB local: </w:t>
      </w:r>
      <w:r>
        <w:t>Si PostgreSQL rechaza credenciales en entorno local, limpiar el volumen persistido y reconstruir:</w:t>
        <w:br/>
        <w:t>&gt; docker compose down -v</w:t>
        <w:br/>
        <w:t>&gt; docker compose up --build</w:t>
      </w:r>
    </w:p>
    <w:p>
      <w:pPr>
        <w:pStyle w:val="ListBullet"/>
      </w:pPr>
      <w:r>
        <w:rPr>
          <w:b/>
        </w:rPr>
        <w:t xml:space="preserve">Fallo de arranque de Spring Boot: </w:t>
      </w:r>
      <w:r>
        <w:t>En caso de que el Actuator no retorne UP, revisar los registros aislados de la aplicación del backend:</w:t>
        <w:br/>
        <w:t>&gt; docker logs recred-backend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2323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B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5C768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B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urier New" w:hAnsi="Courier New"/>
      <w:color w:val="1E1E1E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