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8"/>
          <w:szCs w:val="48"/>
        </w:rPr>
        <w:t xml:space="preserve">PRISM-4D MYC-MAX</w:t>
      </w:r>
    </w:p>
    <w:p>
      <w:pPr>
        <w:spacing w:after="80"/>
        <w:jc w:val="center"/>
      </w:pPr>
      <w:r>
        <w:rPr>
          <w:rFonts w:ascii="Arial" w:cs="Arial" w:eastAsia="Arial" w:hAnsi="Arial"/>
          <w:i/>
          <w:iCs/>
          <w:color w:val="555555"/>
          <w:sz w:val="28"/>
          <w:szCs w:val="28"/>
        </w:rPr>
        <w:t xml:space="preserve">Trajectory Frame Extraction &amp; Ensemble Docking Report</w:t>
      </w:r>
    </w:p>
    <w:p>
      <w:pPr>
        <w:spacing w:after="200"/>
        <w:jc w:val="center"/>
      </w:pPr>
      <w:r>
        <w:rPr>
          <w:rFonts w:ascii="Arial" w:cs="Arial" w:eastAsia="Arial" w:hAnsi="Arial"/>
          <w:sz w:val="20"/>
          <w:szCs w:val="20"/>
        </w:rPr>
        <w:t xml:space="preserve">Site 1 Cross-Chain Interface Pocket  |  February 2026  |  CONFIDENTIAL</w:t>
      </w:r>
    </w:p>
    <w:p>
      <w:r>
        <w:br w:type="page"/>
      </w:r>
    </w:p>
    <w:p>
      <w:pPr>
        <w:pStyle w:val="Heading1"/>
        <w:spacing w:before="360" w:after="160"/>
      </w:pPr>
      <w:r>
        <w:rPr>
          <w:rFonts w:ascii="Arial" w:cs="Arial" w:eastAsia="Arial" w:hAnsi="Arial"/>
          <w:b/>
          <w:bCs/>
          <w:color w:val="1B3A5C"/>
          <w:sz w:val="32"/>
          <w:szCs w:val="32"/>
        </w:rPr>
        <w:t xml:space="preserve">1. Trajectory Quality Assessment</w:t>
      </w:r>
    </w:p>
    <w:p>
      <w:pPr>
        <w:spacing w:after="120" w:line="276"/>
      </w:pPr>
      <w:r>
        <w:rPr>
          <w:rFonts w:ascii="Arial" w:cs="Arial" w:eastAsia="Arial" w:hAnsi="Arial"/>
          <w:sz w:val="20"/>
          <w:szCs w:val="20"/>
        </w:rPr>
        <w:t xml:space="preserve">The ensemble trajectory from the PRISM-4D RT cosolvent run was analyzed for structural integrity. Each frame was evaluated for coordinate sanity (maximum atomic coordinate), chain integrity (inter-chain distance), and C-terminal stability.</w:t>
      </w:r>
    </w:p>
    <w:p>
      <w:pPr>
        <w:pStyle w:val="Heading2"/>
        <w:spacing w:before="240" w:after="160"/>
      </w:pPr>
      <w:r>
        <w:rPr>
          <w:rFonts w:ascii="Arial" w:cs="Arial" w:eastAsia="Arial" w:hAnsi="Arial"/>
          <w:b/>
          <w:bCs/>
          <w:color w:val="2D5F8A"/>
          <w:sz w:val="26"/>
          <w:szCs w:val="26"/>
        </w:rPr>
        <w:t xml:space="preserve">1.1 Frame Stability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1300"/>
        <w:gridCol w:w="1300"/>
        <w:gridCol w:w="2960"/>
      </w:tblGrid>
      <w:tr>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Frame</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Max Coord (Å)</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Centroid Dist</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I85→MYC</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L88→MYC</w:t>
            </w:r>
          </w:p>
        </w:tc>
        <w:tc>
          <w:tcPr>
            <w:tcW w:type="dxa" w:w="2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113.2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8.72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5.06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5.79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VALID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112.8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8.72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5.24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5.95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VALID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113.1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8.76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5.43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5.65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VALID ★ BEST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116.1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8.71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5.68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5.93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VALID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240.0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8.73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5.83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5.61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BORDERLINE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113.5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8.78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5.72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5.39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VALID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254.5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9.06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6.03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15.48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UNSTABLE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454.4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15.10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7.80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104.5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EXPLODED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654.2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32.43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89.0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217.0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EXPLODED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854.1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52.34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199.9 Å</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298.2 Å</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EXPLODED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6"/>
              <w:left w:val="single" w:color="999999" w:sz="1"/>
              <w:bottom w:val="single" w:color="999999" w:sz="1"/>
              <w:right w:val="single" w:color="999999" w:sz="1"/>
            </w:tcBorders>
            <w:shd w:fill="FFF5F0" w:val="clear"/>
            <w:tcMar>
              <w:top w:type="dxa" w:w="120"/>
              <w:left w:type="dxa" w:w="160"/>
              <w:bottom w:type="dxa" w:w="120"/>
              <w:right w:type="dxa" w:w="160"/>
            </w:tcMar>
          </w:tcPr>
          <w:p>
            <w:pPr>
              <w:spacing w:after="80"/>
            </w:pPr>
            <w:r>
              <w:rPr>
                <w:rFonts w:ascii="Arial" w:cs="Arial" w:eastAsia="Arial" w:hAnsi="Arial"/>
                <w:b/>
                <w:bCs/>
                <w:color w:val="CC3300"/>
                <w:sz w:val="22"/>
                <w:szCs w:val="22"/>
              </w:rPr>
              <w:t xml:space="preserve">CRITICAL: Frame 7 Was Incorrectly Labeled 'Best'</w:t>
            </w:r>
          </w:p>
          <w:p>
            <w:pPr>
              <w:spacing w:after="0"/>
            </w:pPr>
            <w:r>
              <w:rPr>
                <w:rFonts w:ascii="Arial" w:cs="Arial" w:eastAsia="Arial" w:hAnsi="Arial"/>
                <w:sz w:val="20"/>
                <w:szCs w:val="20"/>
              </w:rPr>
              <w:t xml:space="preserve">The extraction script's dockability scoring function peaked at centroid distance ~12.5Å. Frame 7 scored 0.8457 because its centroid distance of 15.1Å was near this peak — but this distance resulted from Chain B dissociating (L88 at 104.5Å from MYC), not from a genuine pocket opening. Frame 7 is a false positive. The corrected best frame is Frame 2 (score 0.8183), where all three hydrophobic patch residues (I85, L88, H81) are within 6Å of the MYC helix and the overall structure is intact.</w:t>
            </w:r>
          </w:p>
        </w:tc>
      </w:tr>
    </w:tbl>
    <w:p>
      <w:pPr>
        <w:pStyle w:val="Heading2"/>
        <w:spacing w:before="240" w:after="160"/>
      </w:pPr>
      <w:r>
        <w:rPr>
          <w:rFonts w:ascii="Arial" w:cs="Arial" w:eastAsia="Arial" w:hAnsi="Arial"/>
          <w:b/>
          <w:bCs/>
          <w:color w:val="2D5F8A"/>
          <w:sz w:val="26"/>
          <w:szCs w:val="26"/>
        </w:rPr>
        <w:t xml:space="preserve">1.2 Trajectory Instability Diagnosis</w:t>
      </w:r>
    </w:p>
    <w:p>
      <w:pPr>
        <w:spacing w:after="120" w:line="276"/>
      </w:pPr>
      <w:r>
        <w:rPr>
          <w:rFonts w:ascii="Arial" w:cs="Arial" w:eastAsia="Arial" w:hAnsi="Arial"/>
          <w:sz w:val="20"/>
          <w:szCs w:val="20"/>
        </w:rPr>
        <w:t xml:space="preserve">The Chain B C-terminal (residues 160+) shows fraying in ALL frames, including the valid ones (~52.7Å max distance from chain core). This is expected terminal dynamics for an 83-residue coiled-coil helix simulated without explicit solvent — the ends always unravel. The critical distinction is that Site 1 residues (topo 142-153, MAX K77-L88) remain structurally intact in frames 0-3 and 5, while the C-terminal fraying progressively destabilizes the entire chain from frame 6 onward.</w:t>
      </w:r>
    </w:p>
    <w:p>
      <w:pPr>
        <w:spacing w:after="120" w:line="276"/>
      </w:pPr>
      <w:r>
        <w:rPr>
          <w:rFonts w:ascii="Arial" w:cs="Arial" w:eastAsia="Arial" w:hAnsi="Arial"/>
          <w:b/>
          <w:bCs/>
          <w:sz w:val="20"/>
          <w:szCs w:val="20"/>
        </w:rPr>
        <w:t xml:space="preserve">Root cause: </w:t>
      </w:r>
      <w:r>
        <w:rPr>
          <w:rFonts w:ascii="Arial" w:cs="Arial" w:eastAsia="Arial" w:hAnsi="Arial"/>
          <w:sz w:val="20"/>
          <w:szCs w:val="20"/>
        </w:rPr>
        <w:t xml:space="preserve">The implicit solvent (GB/SA) model provides insufficient stabilization of the coiled-coil termini. In explicit solvent, water molecules at the helix ends would provide hydrogen bonding and solvation shell stability. Without them, terminal residues accumulate kinetic energy and progressively unravel. The Langevin thermostat eventually loses control of these high-velocity atoms, causing the chain explosion seen in frames 7-9.</w:t>
      </w:r>
    </w:p>
    <w:p>
      <w:pPr>
        <w:spacing w:after="120" w:line="276"/>
      </w:pPr>
      <w:r>
        <w:rPr>
          <w:rFonts w:ascii="Arial" w:cs="Arial" w:eastAsia="Arial" w:hAnsi="Arial"/>
          <w:b/>
          <w:bCs/>
          <w:sz w:val="20"/>
          <w:szCs w:val="20"/>
        </w:rPr>
        <w:t xml:space="preserve">Mitigation for future runs: </w:t>
      </w:r>
      <w:r>
        <w:rPr>
          <w:rFonts w:ascii="Arial" w:cs="Arial" w:eastAsia="Arial" w:hAnsi="Arial"/>
          <w:sz w:val="20"/>
          <w:szCs w:val="20"/>
        </w:rPr>
        <w:t xml:space="preserve">(1) Apply harmonic restraints to terminal residues (resid &gt; 160 and resid &lt; 5) to prevent unraveling. (2) Use shorter warm-hold phase. (3) Run with --replicas 4 and discard trajectories that show instability. (4) Consider explicit solvent for production docking frame extraction.</w:t>
      </w:r>
    </w:p>
    <w:p>
      <w:r>
        <w:br w:type="page"/>
      </w:r>
    </w:p>
    <w:p>
      <w:pPr>
        <w:pStyle w:val="Heading1"/>
        <w:spacing w:before="360" w:after="160"/>
      </w:pPr>
      <w:r>
        <w:rPr>
          <w:rFonts w:ascii="Arial" w:cs="Arial" w:eastAsia="Arial" w:hAnsi="Arial"/>
          <w:b/>
          <w:bCs/>
          <w:color w:val="1B3A5C"/>
          <w:sz w:val="32"/>
          <w:szCs w:val="32"/>
        </w:rPr>
        <w:t xml:space="preserve">2. Valid Frame Analysis</w:t>
      </w:r>
    </w:p>
    <w:p>
      <w:pPr>
        <w:pStyle w:val="Heading2"/>
        <w:spacing w:before="240" w:after="160"/>
      </w:pPr>
      <w:r>
        <w:rPr>
          <w:rFonts w:ascii="Arial" w:cs="Arial" w:eastAsia="Arial" w:hAnsi="Arial"/>
          <w:b/>
          <w:bCs/>
          <w:color w:val="2D5F8A"/>
          <w:sz w:val="26"/>
          <w:szCs w:val="26"/>
        </w:rPr>
        <w:t xml:space="preserve">2.1 Pocket Geometry Summary</w:t>
      </w:r>
    </w:p>
    <w:p>
      <w:pPr>
        <w:spacing w:after="120" w:line="276"/>
      </w:pPr>
      <w:r>
        <w:rPr>
          <w:rFonts w:ascii="Arial" w:cs="Arial" w:eastAsia="Arial" w:hAnsi="Arial"/>
          <w:sz w:val="20"/>
          <w:szCs w:val="20"/>
        </w:rPr>
        <w:t xml:space="preserve">Five frames (0, 1, 2, 3, 5) passed structural validation. All show remarkably consistent pocket geometry, indicating the detected cavity is a stable feature of the breathing dynamics rather than a transient fluctuation.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100"/>
        <w:gridCol w:w="900"/>
        <w:gridCol w:w="900"/>
        <w:gridCol w:w="900"/>
        <w:gridCol w:w="2360"/>
      </w:tblGrid>
      <w:tr>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Frame</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Dockability</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Centroid (Å)</w:t>
            </w:r>
          </w:p>
        </w:tc>
        <w:tc>
          <w:tcPr>
            <w:tcW w:type="dxa" w:w="11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Min CA (Å)</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I85 (Å)</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L88 (Å)</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H81 (Å)</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Cross-Chain Contacts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0.8054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5.79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46</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0.8111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6.17</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 ★</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0.8183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5.43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5.43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5.89</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0.8162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5.43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5.68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5.82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0.8066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8.78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5.72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5.39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5.45</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999999" w:sz="1"/>
              <w:bottom w:val="single" w:color="999999" w:sz="1"/>
              <w:right w:val="single" w:color="999999" w:sz="1"/>
            </w:tcBorders>
            <w:shd w:fill="F0FF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Pocket Consistency Across Frames</w:t>
            </w:r>
          </w:p>
          <w:p>
            <w:pPr>
              <w:spacing w:after="0"/>
            </w:pPr>
            <w:r>
              <w:rPr>
                <w:rFonts w:ascii="Arial" w:cs="Arial" w:eastAsia="Arial" w:hAnsi="Arial"/>
                <w:sz w:val="20"/>
                <w:szCs w:val="20"/>
              </w:rPr>
              <w:t xml:space="preserve">Centroid distance: 8.71–8.78 Å (range 0.07 Å). I85 distance: 5.06–5.83 Å. L88 distance: 5.39–5.95 Å. This sub-angstrom variation across 5 independent trajectory snapshots confirms the pocket is a reproducible structural feature, not a simulation artifact.</w:t>
            </w:r>
          </w:p>
        </w:tc>
      </w:tr>
    </w:tbl>
    <w:p>
      <w:pPr>
        <w:pStyle w:val="Heading2"/>
        <w:spacing w:before="240" w:after="160"/>
      </w:pPr>
      <w:r>
        <w:rPr>
          <w:rFonts w:ascii="Arial" w:cs="Arial" w:eastAsia="Arial" w:hAnsi="Arial"/>
          <w:b/>
          <w:bCs/>
          <w:color w:val="2D5F8A"/>
          <w:sz w:val="26"/>
          <w:szCs w:val="26"/>
        </w:rPr>
        <w:t xml:space="preserve">2.2 Cross-Chain Contact Map (Frame 2, Best)</w:t>
      </w:r>
    </w:p>
    <w:p>
      <w:pPr>
        <w:spacing w:after="120" w:line="276"/>
      </w:pPr>
      <w:r>
        <w:rPr>
          <w:rFonts w:ascii="Arial" w:cs="Arial" w:eastAsia="Arial" w:hAnsi="Arial"/>
          <w:sz w:val="20"/>
          <w:szCs w:val="20"/>
        </w:rPr>
        <w:t xml:space="preserve">The contact map below shows CA-CA distances between Site 1 MYC residues (rows) and MAX residues (columns). Distances marked with (*) are within 8Å, indicating direct contact range suitable for small-molecule bridging. The diagonal pattern reveals a well-defined inter-helical groove running from GLU60-ASN143 at the N-terminal end to ARG71-LEU153 at the C-terminal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MYC Res</w:t>
            </w:r>
          </w:p>
        </w:tc>
        <w:tc>
          <w:tcPr>
            <w:tcW w:type="dxa" w:w="14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LYS142</w:t>
            </w:r>
          </w:p>
        </w:tc>
        <w:tc>
          <w:tcPr>
            <w:tcW w:type="dxa" w:w="14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ASN143</w:t>
            </w:r>
          </w:p>
        </w:tc>
        <w:tc>
          <w:tcPr>
            <w:tcW w:type="dxa" w:w="14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HIS146</w:t>
            </w:r>
          </w:p>
        </w:tc>
        <w:tc>
          <w:tcPr>
            <w:tcW w:type="dxa" w:w="14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ILE150</w:t>
            </w:r>
          </w:p>
        </w:tc>
        <w:tc>
          <w:tcPr>
            <w:tcW w:type="dxa" w:w="14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LEU153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GLU60 (E408)</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7.9*</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5.5*</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8.0*</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12.0</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LEU63 (L411)</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10.5</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7.3*</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7.0*</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ILE64 (I412)</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10.6</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8.6</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6.5*</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8.2</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GLU66 (E414)</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9.2</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6.7*</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9.9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GLU67 (E415)</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11.4</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7.3*</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5.4*</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LEU70 (L418)</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11.3</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6.9*</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ARG71 (R419)</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11.3</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8.0*</w:t>
            </w:r>
          </w:p>
        </w:tc>
        <w:tc>
          <w:tcPr>
            <w:tcW w:type="dxa" w:w="14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5.6*</w:t>
            </w:r>
          </w:p>
        </w:tc>
      </w:tr>
    </w:tbl>
    <w:p>
      <w:pPr>
        <w:spacing w:after="120" w:line="276"/>
      </w:pPr>
      <w:r>
        <w:rPr>
          <w:rFonts w:ascii="Arial" w:cs="Arial" w:eastAsia="Arial" w:hAnsi="Arial"/>
          <w:b/>
          <w:bCs/>
          <w:sz w:val="20"/>
          <w:szCs w:val="20"/>
        </w:rPr>
        <w:t xml:space="preserve">Key contacts for docking: </w:t>
      </w:r>
      <w:r>
        <w:rPr>
          <w:rFonts w:ascii="Arial" w:cs="Arial" w:eastAsia="Arial" w:hAnsi="Arial"/>
          <w:sz w:val="20"/>
          <w:szCs w:val="20"/>
        </w:rPr>
        <w:t xml:space="preserve">GLU67↔ILE150 (5.4Å) is the tightest cross-chain contact and defines the pocket floor. ARG71↔LEU153 (5.6Å) and LEU70↔LEU153 (6.3Å) form the hydrophobic floor of the zipper seam. LEU63↔HIS146 (5.9Å) provides a polar anchor point (H81 imidazole). Any docking hit that does not make contact with at least the ILE150/LEU153 patch should be deprioritized — it is sitting on the surface, not in the pocket.</w:t>
      </w:r>
    </w:p>
    <w:p>
      <w:r>
        <w:br w:type="page"/>
      </w:r>
    </w:p>
    <w:p>
      <w:pPr>
        <w:pStyle w:val="Heading1"/>
        <w:spacing w:before="360" w:after="160"/>
      </w:pPr>
      <w:r>
        <w:rPr>
          <w:rFonts w:ascii="Arial" w:cs="Arial" w:eastAsia="Arial" w:hAnsi="Arial"/>
          <w:b/>
          <w:bCs/>
          <w:color w:val="1B3A5C"/>
          <w:sz w:val="32"/>
          <w:szCs w:val="32"/>
        </w:rPr>
        <w:t xml:space="preserve">3. Ensemble Docking Configuration</w:t>
      </w:r>
    </w:p>
    <w:p>
      <w:pPr>
        <w:pStyle w:val="Heading2"/>
        <w:spacing w:before="240" w:after="160"/>
      </w:pPr>
      <w:r>
        <w:rPr>
          <w:rFonts w:ascii="Arial" w:cs="Arial" w:eastAsia="Arial" w:hAnsi="Arial"/>
          <w:b/>
          <w:bCs/>
          <w:color w:val="2D5F8A"/>
          <w:sz w:val="26"/>
          <w:szCs w:val="26"/>
        </w:rPr>
        <w:t xml:space="preserve">3.1 Receptor Preparation</w:t>
      </w:r>
    </w:p>
    <w:p>
      <w:pPr>
        <w:spacing w:after="120" w:line="276"/>
      </w:pPr>
      <w:r>
        <w:rPr>
          <w:rFonts w:ascii="Arial" w:cs="Arial" w:eastAsia="Arial" w:hAnsi="Arial"/>
          <w:sz w:val="20"/>
          <w:szCs w:val="20"/>
        </w:rPr>
        <w:t xml:space="preserve">The corrected ensemble (site1_ensemble_CORRECTED.pdb) contains 5 models. For ensemble docking, each model is docked independently and results are merged with consensus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4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Receptor file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site1_ensemble_CORRECTED.pdb</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 valid frames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Best single frame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site1_dock_frame_0002.pdb (Frame 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Corrected from Frame 7</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Protonation</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pH 7.0 (PDBFixer assignment)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Topology preparation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Chains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 (MYC) + B (MAX)</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Both required for interface pocket</w:t>
            </w:r>
          </w:p>
        </w:tc>
      </w:tr>
    </w:tbl>
    <w:p>
      <w:pPr>
        <w:pStyle w:val="Heading2"/>
        <w:spacing w:before="240" w:after="160"/>
      </w:pPr>
      <w:r>
        <w:rPr>
          <w:rFonts w:ascii="Arial" w:cs="Arial" w:eastAsia="Arial" w:hAnsi="Arial"/>
          <w:b/>
          <w:bCs/>
          <w:color w:val="2D5F8A"/>
          <w:sz w:val="26"/>
          <w:szCs w:val="26"/>
        </w:rPr>
        <w:t xml:space="preserve">3.2 Docking Box</w:t>
      </w:r>
    </w:p>
    <w:p>
      <w:pPr>
        <w:spacing w:after="120" w:line="276"/>
      </w:pPr>
      <w:r>
        <w:rPr>
          <w:rFonts w:ascii="Arial" w:cs="Arial" w:eastAsia="Arial" w:hAnsi="Arial"/>
          <w:sz w:val="20"/>
          <w:szCs w:val="20"/>
        </w:rPr>
        <w:t xml:space="preserve">The docking box is centered at the midpoint between MYC and MAX interface centroids, sized to cover the full cross-chain pocket plus 4Å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Center X</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61.26 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Center 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48.27 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Center Z</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52.51 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Size X</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24 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Size 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24 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Size Z</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24 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MYC centroid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(59.24, 46.32, 49.15)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MAX centroid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(63.29, 50.22, 55.87)</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Exhaustiveness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32 (elevated for PPI target)</w:t>
            </w:r>
          </w:p>
        </w:tc>
      </w:tr>
    </w:tbl>
    <w:p>
      <w:pPr>
        <w:pStyle w:val="Heading2"/>
        <w:spacing w:before="240" w:after="160"/>
      </w:pPr>
      <w:r>
        <w:rPr>
          <w:rFonts w:ascii="Arial" w:cs="Arial" w:eastAsia="Arial" w:hAnsi="Arial"/>
          <w:b/>
          <w:bCs/>
          <w:color w:val="2D5F8A"/>
          <w:sz w:val="26"/>
          <w:szCs w:val="26"/>
        </w:rPr>
        <w:t xml:space="preserve">3.3 Post-Docking Hit Filter</w:t>
      </w:r>
    </w:p>
    <w:p>
      <w:pPr>
        <w:spacing w:after="120" w:line="276"/>
      </w:pPr>
      <w:r>
        <w:rPr>
          <w:rFonts w:ascii="Arial" w:cs="Arial" w:eastAsia="Arial" w:hAnsi="Arial"/>
          <w:sz w:val="20"/>
          <w:szCs w:val="20"/>
        </w:rPr>
        <w:t xml:space="preserve">The I85/L88 hydrophobic patch filter is the critical quality gate. Any compound that scores well in Vina but does not physically contact the hydrophobic floor of the zipper seam is binding to the solvent-exposed surface, not wedging into the inter-helical cavity.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Filter Criterion</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Cutoff</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Rationale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Any heavy atom within distance of MAX I85 (topo 150, chain 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 4.0 Å</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Contact with hydrophobic patch floor</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OR any heavy atom within distance of MAX L88 (topo 153, chain 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 4.0 Å</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Contact with zipper seam base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AND Vina binding energy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 -6.0 kcal/mol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Minimum binding affinity threshold</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AND no steric clashes with backbone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&gt; 0 valid poses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Physical feasibility</w:t>
            </w:r>
          </w:p>
        </w:tc>
      </w:tr>
    </w:tbl>
    <w:p>
      <w:pPr>
        <w:spacing w:after="120" w:line="276"/>
      </w:pPr>
      <w:r>
        <w:rPr>
          <w:rFonts w:ascii="Arial" w:cs="Arial" w:eastAsia="Arial" w:hAnsi="Arial"/>
          <w:b/>
          <w:bCs/>
          <w:sz w:val="20"/>
          <w:szCs w:val="20"/>
        </w:rPr>
        <w:t xml:space="preserve">Tier 2 filter (optional): </w:t>
      </w:r>
      <w:r>
        <w:rPr>
          <w:rFonts w:ascii="Arial" w:cs="Arial" w:eastAsia="Arial" w:hAnsi="Arial"/>
          <w:sz w:val="20"/>
          <w:szCs w:val="20"/>
        </w:rPr>
        <w:t xml:space="preserve">Compounds that additionally contact H81 (topo 146, chain B) within 4.0Å are making three-point contact with the validated alanine-scan residues and should be prioritized. This mimics the pharmacophore of an ideal MYC-MAX interface disruptor: hydrophobic anchoring at I85/L88 with a polar interaction at H81.</w:t>
      </w:r>
    </w:p>
    <w:p>
      <w:r>
        <w:br w:type="page"/>
      </w:r>
    </w:p>
    <w:p>
      <w:pPr>
        <w:pStyle w:val="Heading1"/>
        <w:spacing w:before="360" w:after="160"/>
      </w:pPr>
      <w:r>
        <w:rPr>
          <w:rFonts w:ascii="Arial" w:cs="Arial" w:eastAsia="Arial" w:hAnsi="Arial"/>
          <w:b/>
          <w:bCs/>
          <w:color w:val="1B3A5C"/>
          <w:sz w:val="32"/>
          <w:szCs w:val="32"/>
        </w:rPr>
        <w:t xml:space="preserve">4. Execution Commands</w:t>
      </w:r>
    </w:p>
    <w:p>
      <w:pPr>
        <w:pStyle w:val="Heading2"/>
        <w:spacing w:before="240" w:after="160"/>
      </w:pPr>
      <w:r>
        <w:rPr>
          <w:rFonts w:ascii="Arial" w:cs="Arial" w:eastAsia="Arial" w:hAnsi="Arial"/>
          <w:b/>
          <w:bCs/>
          <w:color w:val="2D5F8A"/>
          <w:sz w:val="26"/>
          <w:szCs w:val="26"/>
        </w:rPr>
        <w:t xml:space="preserve">4.1 AutoDock Vina Ensemble Docking</w:t>
      </w:r>
    </w:p>
    <w:p>
      <w:pPr>
        <w:spacing w:after="120" w:line="276"/>
      </w:pPr>
      <w:r>
        <w:rPr>
          <w:rFonts w:ascii="Arial" w:cs="Arial" w:eastAsia="Arial" w:hAnsi="Arial"/>
          <w:sz w:val="20"/>
          <w:szCs w:val="20"/>
        </w:rPr>
        <w:t xml:space="preserve">For each frame in the corrected ensemble:</w:t>
      </w:r>
    </w:p>
    <w:p>
      <w:pPr>
        <w:spacing w:after="60"/>
      </w:pPr>
      <w:r>
        <w:rPr>
          <w:rFonts w:ascii="Courier New" w:cs="Courier New" w:eastAsia="Courier New" w:hAnsi="Courier New"/>
          <w:sz w:val="18"/>
          <w:szCs w:val="18"/>
        </w:rPr>
        <w:t xml:space="preserve"># Prepare receptor (requires MGLTools or ADFR Suite)</w:t>
      </w:r>
    </w:p>
    <w:p>
      <w:pPr>
        <w:spacing w:after="60"/>
      </w:pPr>
      <w:r>
        <w:rPr>
          <w:rFonts w:ascii="Courier New" w:cs="Courier New" w:eastAsia="Courier New" w:hAnsi="Courier New"/>
          <w:sz w:val="18"/>
          <w:szCs w:val="18"/>
        </w:rPr>
        <w:t xml:space="preserve">prepare_receptor -r site1_dock_frame_0002.pdb -o receptor.pdbqt</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Single-frame docking</w:t>
      </w:r>
    </w:p>
    <w:p>
      <w:pPr>
        <w:spacing w:after="60"/>
      </w:pPr>
      <w:r>
        <w:rPr>
          <w:rFonts w:ascii="Courier New" w:cs="Courier New" w:eastAsia="Courier New" w:hAnsi="Courier New"/>
          <w:sz w:val="18"/>
          <w:szCs w:val="18"/>
        </w:rPr>
        <w:t xml:space="preserve">vina --receptor receptor.pdbqt --ligand library.pdbqt \</w:t>
      </w:r>
    </w:p>
    <w:p>
      <w:pPr>
        <w:spacing w:after="60"/>
      </w:pPr>
      <w:r>
        <w:rPr>
          <w:rFonts w:ascii="Courier New" w:cs="Courier New" w:eastAsia="Courier New" w:hAnsi="Courier New"/>
          <w:sz w:val="18"/>
          <w:szCs w:val="18"/>
        </w:rPr>
        <w:t xml:space="preserve">  --center_x 61.26 --center_y 48.27 --center_z 52.51 \</w:t>
      </w:r>
    </w:p>
    <w:p>
      <w:pPr>
        <w:spacing w:after="60"/>
      </w:pPr>
      <w:r>
        <w:rPr>
          <w:rFonts w:ascii="Courier New" w:cs="Courier New" w:eastAsia="Courier New" w:hAnsi="Courier New"/>
          <w:sz w:val="18"/>
          <w:szCs w:val="18"/>
        </w:rPr>
        <w:t xml:space="preserve">  --size_x 24 --size_y 24 --size_z 24 \</w:t>
      </w:r>
    </w:p>
    <w:p>
      <w:pPr>
        <w:spacing w:after="60"/>
      </w:pPr>
      <w:r>
        <w:rPr>
          <w:rFonts w:ascii="Courier New" w:cs="Courier New" w:eastAsia="Courier New" w:hAnsi="Courier New"/>
          <w:sz w:val="18"/>
          <w:szCs w:val="18"/>
        </w:rPr>
        <w:t xml:space="preserve">  --exhaustiveness 32 --num_modes 20</w:t>
      </w:r>
    </w:p>
    <w:p>
      <w:pPr>
        <w:spacing w:after="12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Full ensemble docking (all 5 valid frames)</w:t>
      </w:r>
    </w:p>
    <w:p>
      <w:pPr>
        <w:spacing w:after="60"/>
      </w:pPr>
      <w:r>
        <w:rPr>
          <w:rFonts w:ascii="Courier New" w:cs="Courier New" w:eastAsia="Courier New" w:hAnsi="Courier New"/>
          <w:sz w:val="18"/>
          <w:szCs w:val="18"/>
        </w:rPr>
        <w:t xml:space="preserve">for frame in site1_dock_frame_000{0,1,2,3}.pdb site1_dock_frame_0005.pdb; do</w:t>
      </w:r>
    </w:p>
    <w:p>
      <w:pPr>
        <w:spacing w:after="60"/>
      </w:pPr>
      <w:r>
        <w:rPr>
          <w:rFonts w:ascii="Courier New" w:cs="Courier New" w:eastAsia="Courier New" w:hAnsi="Courier New"/>
          <w:sz w:val="18"/>
          <w:szCs w:val="18"/>
        </w:rPr>
        <w:t xml:space="preserve">  prepare_receptor -r $frame -o ${frame%.pdb}.pdbqt</w:t>
      </w:r>
    </w:p>
    <w:p>
      <w:pPr>
        <w:spacing w:after="60"/>
      </w:pPr>
      <w:r>
        <w:rPr>
          <w:rFonts w:ascii="Courier New" w:cs="Courier New" w:eastAsia="Courier New" w:hAnsi="Courier New"/>
          <w:sz w:val="18"/>
          <w:szCs w:val="18"/>
        </w:rPr>
        <w:t xml:space="preserve">  vina --receptor ${frame%.pdb}.pdbqt --ligand library.pdbqt \</w:t>
      </w:r>
    </w:p>
    <w:p>
      <w:pPr>
        <w:spacing w:after="60"/>
      </w:pPr>
      <w:r>
        <w:rPr>
          <w:rFonts w:ascii="Courier New" w:cs="Courier New" w:eastAsia="Courier New" w:hAnsi="Courier New"/>
          <w:sz w:val="18"/>
          <w:szCs w:val="18"/>
        </w:rPr>
        <w:t xml:space="preserve">    --center_x 61.26 --center_y 48.27 --center_z 52.51 \</w:t>
      </w:r>
    </w:p>
    <w:p>
      <w:pPr>
        <w:spacing w:after="60"/>
      </w:pPr>
      <w:r>
        <w:rPr>
          <w:rFonts w:ascii="Courier New" w:cs="Courier New" w:eastAsia="Courier New" w:hAnsi="Courier New"/>
          <w:sz w:val="18"/>
          <w:szCs w:val="18"/>
        </w:rPr>
        <w:t xml:space="preserve">    --size_x 24 --size_y 24 --size_z 24 \</w:t>
      </w:r>
    </w:p>
    <w:p>
      <w:pPr>
        <w:spacing w:after="60"/>
      </w:pPr>
      <w:r>
        <w:rPr>
          <w:rFonts w:ascii="Courier New" w:cs="Courier New" w:eastAsia="Courier New" w:hAnsi="Courier New"/>
          <w:sz w:val="18"/>
          <w:szCs w:val="18"/>
        </w:rPr>
        <w:t xml:space="preserve">    --exhaustiveness 32 --num_modes 10 \</w:t>
      </w:r>
    </w:p>
    <w:p>
      <w:pPr>
        <w:spacing w:after="60"/>
      </w:pPr>
      <w:r>
        <w:rPr>
          <w:rFonts w:ascii="Courier New" w:cs="Courier New" w:eastAsia="Courier New" w:hAnsi="Courier New"/>
          <w:sz w:val="18"/>
          <w:szCs w:val="18"/>
        </w:rPr>
        <w:t xml:space="preserve">    --out docking_${frame%.pdb}.pdbqt</w:t>
      </w:r>
    </w:p>
    <w:p>
      <w:pPr>
        <w:spacing w:after="120"/>
      </w:pPr>
      <w:r>
        <w:rPr>
          <w:rFonts w:ascii="Courier New" w:cs="Courier New" w:eastAsia="Courier New" w:hAnsi="Courier New"/>
          <w:sz w:val="18"/>
          <w:szCs w:val="18"/>
        </w:rPr>
        <w:t xml:space="preserve">done</w:t>
      </w:r>
    </w:p>
    <w:p>
      <w:pPr>
        <w:pStyle w:val="Heading2"/>
        <w:spacing w:before="240" w:after="160"/>
      </w:pPr>
      <w:r>
        <w:rPr>
          <w:rFonts w:ascii="Arial" w:cs="Arial" w:eastAsia="Arial" w:hAnsi="Arial"/>
          <w:b/>
          <w:bCs/>
          <w:color w:val="2D5F8A"/>
          <w:sz w:val="26"/>
          <w:szCs w:val="26"/>
        </w:rPr>
        <w:t xml:space="preserve">4.2 I85/L88 Contact Filter</w:t>
      </w:r>
    </w:p>
    <w:p>
      <w:pPr>
        <w:spacing w:after="120" w:line="276"/>
      </w:pPr>
      <w:r>
        <w:rPr>
          <w:rFonts w:ascii="Arial" w:cs="Arial" w:eastAsia="Arial" w:hAnsi="Arial"/>
          <w:sz w:val="20"/>
          <w:szCs w:val="20"/>
        </w:rPr>
        <w:t xml:space="preserve">After docking, filter results to retain only compounds contacting the hydrophobic patch. This requires extracting ligand atom coordinates from docking output and computing minimum distance to I85/L88 heavy atoms in the receptor:</w:t>
      </w:r>
    </w:p>
    <w:p>
      <w:pPr>
        <w:spacing w:after="60"/>
      </w:pPr>
      <w:r>
        <w:rPr>
          <w:rFonts w:ascii="Courier New" w:cs="Courier New" w:eastAsia="Courier New" w:hAnsi="Courier New"/>
          <w:sz w:val="18"/>
          <w:szCs w:val="18"/>
        </w:rPr>
        <w:t xml:space="preserve"># Extract I85/L88 coordinates from best frame</w:t>
      </w:r>
    </w:p>
    <w:p>
      <w:pPr>
        <w:spacing w:after="60"/>
      </w:pPr>
      <w:r>
        <w:rPr>
          <w:rFonts w:ascii="Courier New" w:cs="Courier New" w:eastAsia="Courier New" w:hAnsi="Courier New"/>
          <w:sz w:val="18"/>
          <w:szCs w:val="18"/>
        </w:rPr>
        <w:t xml:space="preserve">grep 'ATOM.*B.*150\|ATOM.*B.*153' site1_dock_frame_0002.pdb</w:t>
      </w:r>
    </w:p>
    <w:p>
      <w:pPr>
        <w:spacing w:after="12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For each docked pose, compute min distance to patch atoms</w:t>
      </w:r>
    </w:p>
    <w:p>
      <w:pPr>
        <w:spacing w:after="60"/>
      </w:pPr>
      <w:r>
        <w:rPr>
          <w:rFonts w:ascii="Courier New" w:cs="Courier New" w:eastAsia="Courier New" w:hAnsi="Courier New"/>
          <w:sz w:val="18"/>
          <w:szCs w:val="18"/>
        </w:rPr>
        <w:t xml:space="preserve"># Retain if min_distance &lt; 4.0 Angstroms</w:t>
      </w:r>
    </w:p>
    <w:p>
      <w:r>
        <w:br w:type="page"/>
      </w:r>
    </w:p>
    <w:p>
      <w:pPr>
        <w:pStyle w:val="Heading1"/>
        <w:spacing w:before="360" w:after="160"/>
      </w:pPr>
      <w:r>
        <w:rPr>
          <w:rFonts w:ascii="Arial" w:cs="Arial" w:eastAsia="Arial" w:hAnsi="Arial"/>
          <w:b/>
          <w:bCs/>
          <w:color w:val="1B3A5C"/>
          <w:sz w:val="32"/>
          <w:szCs w:val="32"/>
        </w:rPr>
        <w:t xml:space="preserve">5. Interpretation and Caveats</w:t>
      </w:r>
    </w:p>
    <w:p>
      <w:pPr>
        <w:pStyle w:val="Heading2"/>
        <w:spacing w:before="240" w:after="160"/>
      </w:pPr>
      <w:r>
        <w:rPr>
          <w:rFonts w:ascii="Arial" w:cs="Arial" w:eastAsia="Arial" w:hAnsi="Arial"/>
          <w:b/>
          <w:bCs/>
          <w:color w:val="2D5F8A"/>
          <w:sz w:val="26"/>
          <w:szCs w:val="26"/>
        </w:rPr>
        <w:t xml:space="preserve">5.1 What the Pocket Geometry Tells Us</w:t>
      </w:r>
    </w:p>
    <w:p>
      <w:pPr>
        <w:spacing w:after="120" w:line="276"/>
      </w:pPr>
      <w:r>
        <w:rPr>
          <w:rFonts w:ascii="Arial" w:cs="Arial" w:eastAsia="Arial" w:hAnsi="Arial"/>
          <w:sz w:val="20"/>
          <w:szCs w:val="20"/>
        </w:rPr>
        <w:t xml:space="preserve">The 8.7Å centroid distance between MYC and MAX at Site 1 is tight. For comparison, the average inter-helical distance in a leucine zipper coiled coil is ~10Å (CA-CA across the interface). The fact that Site 1 residues are at 8.7Å means they are in direct van der Waals contact across the interface, and the pocket identified by PRISM-4D is not a large open cavity but rather a narrow inter-helical groove.</w:t>
      </w:r>
    </w:p>
    <w:p>
      <w:pPr>
        <w:spacing w:after="120" w:line="276"/>
      </w:pPr>
      <w:r>
        <w:rPr>
          <w:rFonts w:ascii="Arial" w:cs="Arial" w:eastAsia="Arial" w:hAnsi="Arial"/>
          <w:sz w:val="20"/>
          <w:szCs w:val="20"/>
        </w:rPr>
        <w:t xml:space="preserve">This has implications for compound selection: the ideal hit is a small, flat, hydrophobic molecule (~300-400 Da) that can insert into the groove between helices, not a large, branched compound that requires an open cavity. Fragment-based screening (MW &lt; 300) may be more productive than HTS-scale compound libraries for this pocket geometry.</w:t>
      </w:r>
    </w:p>
    <w:p>
      <w:pPr>
        <w:pStyle w:val="Heading2"/>
        <w:spacing w:before="240" w:after="160"/>
      </w:pPr>
      <w:r>
        <w:rPr>
          <w:rFonts w:ascii="Arial" w:cs="Arial" w:eastAsia="Arial" w:hAnsi="Arial"/>
          <w:b/>
          <w:bCs/>
          <w:color w:val="2D5F8A"/>
          <w:sz w:val="26"/>
          <w:szCs w:val="26"/>
        </w:rPr>
        <w:t xml:space="preserve">5.2 Trajectory Stability Limitation</w:t>
      </w:r>
    </w:p>
    <w:p>
      <w:pPr>
        <w:spacing w:after="120" w:line="276"/>
      </w:pPr>
      <w:r>
        <w:rPr>
          <w:rFonts w:ascii="Arial" w:cs="Arial" w:eastAsia="Arial" w:hAnsi="Arial"/>
          <w:sz w:val="20"/>
          <w:szCs w:val="20"/>
        </w:rPr>
        <w:t xml:space="preserve">Only 5 of 10 extracted frames were structurally valid. The trajectory instability beginning at frame 4 is a real limitation that must be addressed before production docking campaigns. The recommended fix is either terminal restraints (fast, pragmatic) or explicit solvent re-simulation (slower, more rigorous). The current 5 valid frames provide sufficient conformational sampling for a pilot docking study but are insufficient for a statistically powered virtual screen.</w:t>
      </w:r>
    </w:p>
    <w:p>
      <w:pPr>
        <w:pStyle w:val="Heading2"/>
        <w:spacing w:before="240" w:after="160"/>
      </w:pPr>
      <w:r>
        <w:rPr>
          <w:rFonts w:ascii="Arial" w:cs="Arial" w:eastAsia="Arial" w:hAnsi="Arial"/>
          <w:b/>
          <w:bCs/>
          <w:color w:val="2D5F8A"/>
          <w:sz w:val="26"/>
          <w:szCs w:val="26"/>
        </w:rPr>
        <w:t xml:space="preserve">5.3 Dockability Score Correction</w:t>
      </w:r>
    </w:p>
    <w:p>
      <w:pPr>
        <w:spacing w:after="120" w:line="276"/>
      </w:pPr>
      <w:r>
        <w:rPr>
          <w:rFonts w:ascii="Arial" w:cs="Arial" w:eastAsia="Arial" w:hAnsi="Arial"/>
          <w:sz w:val="20"/>
          <w:szCs w:val="20"/>
        </w:rPr>
        <w:t xml:space="preserve">The scoring function in extract_docking_frames.py has a bug: it peaks at centroid_distance = 12.5Å, which rewards partially dissociated structures. This caused Frame 7 (centroid 15.1Å, chain exploding) to score higher than Frame 2 (centroid 8.76Å, structurally intact). </w:t>
      </w:r>
      <w:r>
        <w:rPr>
          <w:rFonts w:ascii="Arial" w:cs="Arial" w:eastAsia="Arial" w:hAnsi="Arial"/>
          <w:b/>
          <w:bCs/>
          <w:sz w:val="20"/>
          <w:szCs w:val="20"/>
        </w:rPr>
        <w:t xml:space="preserve">Fix: </w:t>
      </w:r>
      <w:r>
        <w:rPr>
          <w:rFonts w:ascii="Arial" w:cs="Arial" w:eastAsia="Arial" w:hAnsi="Arial"/>
          <w:sz w:val="20"/>
          <w:szCs w:val="20"/>
        </w:rPr>
        <w:t xml:space="preserve">add a structural integrity check (max atomic coordinate &lt; 200Å, chain B C-terminal &lt; 80Å from core) before computing dockability. Frames failing integrity should receive score 0.0 regardless of centroid distance.</w:t>
      </w:r>
    </w:p>
    <w:p>
      <w:pPr>
        <w:pStyle w:val="Heading2"/>
        <w:spacing w:before="240" w:after="160"/>
      </w:pPr>
      <w:r>
        <w:rPr>
          <w:rFonts w:ascii="Arial" w:cs="Arial" w:eastAsia="Arial" w:hAnsi="Arial"/>
          <w:b/>
          <w:bCs/>
          <w:color w:val="2D5F8A"/>
          <w:sz w:val="26"/>
          <w:szCs w:val="26"/>
        </w:rPr>
        <w:t xml:space="preserve">5.4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60"/>
        <w:gridCol w:w="2300"/>
      </w:tblGrid>
      <w:tr>
        <w:tc>
          <w:tcPr>
            <w:tcW w:type="dxa" w:w="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Step</w:t>
            </w:r>
          </w:p>
        </w:tc>
        <w:tc>
          <w:tcPr>
            <w:tcW w:type="dxa" w:w="6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c>
          <w:tcPr>
            <w:tcW w:type="dxa" w:w="2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Priority</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6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Fix extract_docking_frames.py: add structural integrity filter before scoring</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Immediate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6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Re-run PRISM-4D with terminal restraints (resid &gt; 160, resid &lt; 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High</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6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Run --replicas 4 for statistical confidence on Site 1 reproducibility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High</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6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PyMOL validation: load Frame 2, confirm inter-helical groove visually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Medium</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6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Fragment-based virtual screen against 5-frame ensemble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Medium</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6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Explicit solvent validation run for top docking hits</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Low (post-hits)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PRISM-4D MYC-MAX Docking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2026-02-09T06:32:41.361Z</dcterms:created>
  <dcterms:modified xsi:type="dcterms:W3CDTF">2026-02-09T06:32:41.362Z</dcterms:modified>
</cp:coreProperties>
</file>

<file path=docProps/custom.xml><?xml version="1.0" encoding="utf-8"?>
<Properties xmlns="http://schemas.openxmlformats.org/officeDocument/2006/custom-properties" xmlns:vt="http://schemas.openxmlformats.org/officeDocument/2006/docPropsVTypes"/>
</file>