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BD116" w14:textId="77777777" w:rsidR="00441287" w:rsidRPr="00441287" w:rsidRDefault="00441287" w:rsidP="00441287">
      <w:pPr>
        <w:rPr>
          <w:b/>
          <w:bCs/>
          <w:lang w:val="en-RW"/>
        </w:rPr>
      </w:pPr>
      <w:r w:rsidRPr="00441287">
        <w:rPr>
          <w:b/>
          <w:bCs/>
          <w:lang w:val="en-RW"/>
        </w:rPr>
        <w:t>Financial Inclusion Among Rural Agricultural Households in Rwanda: Analysis of the AHS 2024 Survey Data</w:t>
      </w:r>
    </w:p>
    <w:p w14:paraId="2C911FDF" w14:textId="77777777" w:rsidR="00441287" w:rsidRPr="00441287" w:rsidRDefault="00441287" w:rsidP="00441287">
      <w:pPr>
        <w:rPr>
          <w:b/>
          <w:bCs/>
          <w:lang w:val="en-RW"/>
        </w:rPr>
      </w:pPr>
      <w:r w:rsidRPr="00441287">
        <w:rPr>
          <w:b/>
          <w:bCs/>
          <w:lang w:val="en-RW"/>
        </w:rPr>
        <w:t>1. Introduction</w:t>
      </w:r>
    </w:p>
    <w:p w14:paraId="5680708C" w14:textId="77777777" w:rsidR="00441287" w:rsidRPr="00441287" w:rsidRDefault="00441287" w:rsidP="00441287">
      <w:pPr>
        <w:rPr>
          <w:lang w:val="en-RW"/>
        </w:rPr>
      </w:pPr>
      <w:r w:rsidRPr="00441287">
        <w:rPr>
          <w:lang w:val="en-RW"/>
        </w:rPr>
        <w:t xml:space="preserve">Financial inclusion plays a critical role in improving the livelihoods of rural agricultural households by enabling access to savings, credit, and other financial services that support productivity and resilience. This project utilized data from the </w:t>
      </w:r>
      <w:r w:rsidRPr="00441287">
        <w:rPr>
          <w:b/>
          <w:bCs/>
          <w:lang w:val="en-RW"/>
        </w:rPr>
        <w:t>2024 Agricultural Household Survey (AHS 2024)</w:t>
      </w:r>
      <w:r w:rsidRPr="00441287">
        <w:rPr>
          <w:lang w:val="en-RW"/>
        </w:rPr>
        <w:t xml:space="preserve"> to assess the level of financial inclusion among agricultural households across Rwanda's provinces. The objective was to understand the relationship between access to formal banking services and demand for agricultural credit, while identifying opportunities to strengthen the financial well-being of rural households.</w:t>
      </w:r>
    </w:p>
    <w:p w14:paraId="186A9017" w14:textId="77777777" w:rsidR="00441287" w:rsidRPr="00441287" w:rsidRDefault="00441287" w:rsidP="00441287">
      <w:pPr>
        <w:rPr>
          <w:lang w:val="en-RW"/>
        </w:rPr>
      </w:pPr>
      <w:r w:rsidRPr="00441287">
        <w:rPr>
          <w:lang w:val="en-RW"/>
        </w:rPr>
        <w:t>An interactive Streamlit dashboard was developed to visualize key financial inclusion indicators and provide stakeholders with an accessible view of provincial performance and emerging trends.</w:t>
      </w:r>
    </w:p>
    <w:p w14:paraId="4B26850B" w14:textId="77777777" w:rsidR="00441287" w:rsidRPr="00441287" w:rsidRDefault="00441287" w:rsidP="00441287">
      <w:pPr>
        <w:rPr>
          <w:b/>
          <w:bCs/>
          <w:lang w:val="en-RW"/>
        </w:rPr>
      </w:pPr>
      <w:r w:rsidRPr="00441287">
        <w:rPr>
          <w:b/>
          <w:bCs/>
          <w:lang w:val="en-RW"/>
        </w:rPr>
        <w:t>2. Methodology</w:t>
      </w:r>
    </w:p>
    <w:p w14:paraId="1FCAC3CD" w14:textId="77777777" w:rsidR="00441287" w:rsidRPr="00441287" w:rsidRDefault="00441287" w:rsidP="00441287">
      <w:pPr>
        <w:rPr>
          <w:lang w:val="en-RW"/>
        </w:rPr>
      </w:pPr>
      <w:r w:rsidRPr="00441287">
        <w:rPr>
          <w:lang w:val="en-RW"/>
        </w:rPr>
        <w:t>The analysis focused on three key datasets extracted from the AHS 2024 survey:</w:t>
      </w:r>
    </w:p>
    <w:p w14:paraId="40C649EB" w14:textId="77777777" w:rsidR="00441287" w:rsidRPr="00441287" w:rsidRDefault="00441287" w:rsidP="00441287">
      <w:pPr>
        <w:numPr>
          <w:ilvl w:val="0"/>
          <w:numId w:val="1"/>
        </w:numPr>
        <w:rPr>
          <w:lang w:val="en-RW"/>
        </w:rPr>
      </w:pPr>
      <w:r w:rsidRPr="00441287">
        <w:rPr>
          <w:b/>
          <w:bCs/>
          <w:lang w:val="en-RW"/>
        </w:rPr>
        <w:t>Agricultural Households with Bank Accounts</w:t>
      </w:r>
      <w:r w:rsidRPr="00441287">
        <w:rPr>
          <w:lang w:val="en-RW"/>
        </w:rPr>
        <w:t xml:space="preserve"> - representing the proportion of agricultural households and farmers with access to formal banking services.</w:t>
      </w:r>
    </w:p>
    <w:p w14:paraId="120E89ED" w14:textId="77777777" w:rsidR="00441287" w:rsidRPr="00441287" w:rsidRDefault="00441287" w:rsidP="00441287">
      <w:pPr>
        <w:numPr>
          <w:ilvl w:val="0"/>
          <w:numId w:val="1"/>
        </w:numPr>
        <w:rPr>
          <w:lang w:val="en-RW"/>
        </w:rPr>
      </w:pPr>
      <w:r w:rsidRPr="00441287">
        <w:rPr>
          <w:b/>
          <w:bCs/>
          <w:lang w:val="en-RW"/>
        </w:rPr>
        <w:t>Agricultural Households and Farmers Requesting Loans</w:t>
      </w:r>
      <w:r w:rsidRPr="00441287">
        <w:rPr>
          <w:lang w:val="en-RW"/>
        </w:rPr>
        <w:t xml:space="preserve"> - representing demand for agricultural credit and financing.</w:t>
      </w:r>
    </w:p>
    <w:p w14:paraId="52CDFC7F" w14:textId="77777777" w:rsidR="00441287" w:rsidRPr="00441287" w:rsidRDefault="00441287" w:rsidP="00441287">
      <w:pPr>
        <w:numPr>
          <w:ilvl w:val="0"/>
          <w:numId w:val="1"/>
        </w:numPr>
        <w:rPr>
          <w:lang w:val="en-RW"/>
        </w:rPr>
      </w:pPr>
      <w:r w:rsidRPr="00441287">
        <w:rPr>
          <w:b/>
          <w:bCs/>
          <w:lang w:val="en-RW"/>
        </w:rPr>
        <w:t>Agricultural Household Statistics by Province</w:t>
      </w:r>
      <w:r w:rsidRPr="00441287">
        <w:rPr>
          <w:lang w:val="en-RW"/>
        </w:rPr>
        <w:t xml:space="preserve"> - providing the regional population context for analysis.</w:t>
      </w:r>
    </w:p>
    <w:p w14:paraId="435C8534" w14:textId="77777777" w:rsidR="00441287" w:rsidRPr="00441287" w:rsidRDefault="00441287" w:rsidP="00441287">
      <w:pPr>
        <w:rPr>
          <w:lang w:val="en-RW"/>
        </w:rPr>
      </w:pPr>
      <w:r w:rsidRPr="00441287">
        <w:rPr>
          <w:lang w:val="en-RW"/>
        </w:rPr>
        <w:t xml:space="preserve">The datasets were cleaned, transformed, and merged using the common </w:t>
      </w:r>
      <w:r w:rsidRPr="00441287">
        <w:rPr>
          <w:b/>
          <w:bCs/>
          <w:lang w:val="en-RW"/>
        </w:rPr>
        <w:t>Province</w:t>
      </w:r>
      <w:r w:rsidRPr="00441287">
        <w:rPr>
          <w:lang w:val="en-RW"/>
        </w:rPr>
        <w:t xml:space="preserve"> field. Additional metrics were then computed, including:</w:t>
      </w:r>
    </w:p>
    <w:p w14:paraId="4F6EF967" w14:textId="77777777" w:rsidR="00441287" w:rsidRPr="00441287" w:rsidRDefault="00441287" w:rsidP="00441287">
      <w:pPr>
        <w:numPr>
          <w:ilvl w:val="0"/>
          <w:numId w:val="2"/>
        </w:numPr>
        <w:rPr>
          <w:lang w:val="en-RW"/>
        </w:rPr>
      </w:pPr>
      <w:r w:rsidRPr="00441287">
        <w:rPr>
          <w:b/>
          <w:bCs/>
          <w:lang w:val="en-RW"/>
        </w:rPr>
        <w:t>Loan-to-Bank Ratio</w:t>
      </w:r>
      <w:r w:rsidRPr="00441287">
        <w:rPr>
          <w:lang w:val="en-RW"/>
        </w:rPr>
        <w:t>: Measures the relationship between credit demand and banking access.</w:t>
      </w:r>
    </w:p>
    <w:p w14:paraId="6F62B244" w14:textId="77777777" w:rsidR="00441287" w:rsidRPr="00441287" w:rsidRDefault="00441287" w:rsidP="00441287">
      <w:pPr>
        <w:numPr>
          <w:ilvl w:val="0"/>
          <w:numId w:val="2"/>
        </w:numPr>
        <w:rPr>
          <w:lang w:val="en-RW"/>
        </w:rPr>
      </w:pPr>
      <w:r w:rsidRPr="00441287">
        <w:rPr>
          <w:b/>
          <w:bCs/>
          <w:lang w:val="en-RW"/>
        </w:rPr>
        <w:t>Financial Inclusion Gap</w:t>
      </w:r>
      <w:r w:rsidRPr="00441287">
        <w:rPr>
          <w:lang w:val="en-RW"/>
        </w:rPr>
        <w:t>: Calculated as the difference between the percentage of households requesting loans and those with bank accounts.</w:t>
      </w:r>
    </w:p>
    <w:p w14:paraId="385DD057" w14:textId="77777777" w:rsidR="00441287" w:rsidRPr="00441287" w:rsidRDefault="00441287" w:rsidP="00441287">
      <w:pPr>
        <w:rPr>
          <w:lang w:val="en-RW"/>
        </w:rPr>
      </w:pPr>
      <w:r w:rsidRPr="00441287">
        <w:rPr>
          <w:lang w:val="en-RW"/>
        </w:rPr>
        <w:t>The resulting analytical dataset was used to create interactive visualizations and key performance indicators (KPIs) within a Streamlit dashboard.</w:t>
      </w:r>
    </w:p>
    <w:p w14:paraId="020E7A58" w14:textId="77777777" w:rsidR="00441287" w:rsidRPr="00441287" w:rsidRDefault="00441287" w:rsidP="00441287">
      <w:pPr>
        <w:rPr>
          <w:b/>
          <w:bCs/>
          <w:lang w:val="en-RW"/>
        </w:rPr>
      </w:pPr>
      <w:r w:rsidRPr="00441287">
        <w:rPr>
          <w:b/>
          <w:bCs/>
          <w:lang w:val="en-RW"/>
        </w:rPr>
        <w:t>3. Findings</w:t>
      </w:r>
    </w:p>
    <w:p w14:paraId="00782231" w14:textId="77777777" w:rsidR="00441287" w:rsidRPr="00441287" w:rsidRDefault="00441287" w:rsidP="00441287">
      <w:pPr>
        <w:rPr>
          <w:lang w:val="en-RW"/>
        </w:rPr>
      </w:pPr>
      <w:r w:rsidRPr="00441287">
        <w:rPr>
          <w:lang w:val="en-RW"/>
        </w:rPr>
        <w:t xml:space="preserve">The analysis reveals a strong demand for financial services among agricultural households across all provinces. While a significant proportion of households possess bank accounts, the percentage of households requesting loans generally exceeds the </w:t>
      </w:r>
      <w:r w:rsidRPr="00441287">
        <w:rPr>
          <w:lang w:val="en-RW"/>
        </w:rPr>
        <w:lastRenderedPageBreak/>
        <w:t>level of banking access. This suggests that many rural households require additional financing to support agricultural activities but may face barriers in accessing formal financial services.</w:t>
      </w:r>
    </w:p>
    <w:p w14:paraId="1BC46954" w14:textId="77777777" w:rsidR="00441287" w:rsidRPr="00441287" w:rsidRDefault="00441287" w:rsidP="00441287">
      <w:pPr>
        <w:rPr>
          <w:lang w:val="en-RW"/>
        </w:rPr>
      </w:pPr>
      <w:r w:rsidRPr="00441287">
        <w:rPr>
          <w:lang w:val="en-RW"/>
        </w:rPr>
        <w:t>The findings also highlight notable provincial differences. Some provinces demonstrate relatively strong banking participation, while others exhibit larger financial inclusion gaps, indicating unmet demand for credit. Overall, the results suggest that expanding access to financial products tailored to agricultural households could improve investment capacity, productivity, and economic resilience among rural communities.</w:t>
      </w:r>
    </w:p>
    <w:p w14:paraId="5909767A" w14:textId="77777777" w:rsidR="00441287" w:rsidRPr="00441287" w:rsidRDefault="00441287" w:rsidP="00441287">
      <w:pPr>
        <w:rPr>
          <w:b/>
          <w:bCs/>
          <w:lang w:val="en-RW"/>
        </w:rPr>
      </w:pPr>
      <w:r w:rsidRPr="00441287">
        <w:rPr>
          <w:b/>
          <w:bCs/>
          <w:lang w:val="en-RW"/>
        </w:rPr>
        <w:t>4. Recommendations</w:t>
      </w:r>
    </w:p>
    <w:p w14:paraId="5B131181" w14:textId="77777777" w:rsidR="00441287" w:rsidRPr="00441287" w:rsidRDefault="00441287" w:rsidP="00441287">
      <w:pPr>
        <w:rPr>
          <w:lang w:val="en-RW"/>
        </w:rPr>
      </w:pPr>
      <w:r w:rsidRPr="00441287">
        <w:rPr>
          <w:lang w:val="en-RW"/>
        </w:rPr>
        <w:t>To strengthen financial inclusion among agricultural households, financial institutions and policymakers should expand access to rural banking infrastructure through agent banking, mobile banking, and cooperative-based financial services. Simplifying account opening procedures and enhancing financial literacy programs can help increase formal financial participation among underserved populations.</w:t>
      </w:r>
    </w:p>
    <w:p w14:paraId="059368AB" w14:textId="77777777" w:rsidR="00441287" w:rsidRPr="00441287" w:rsidRDefault="00441287" w:rsidP="00441287">
      <w:pPr>
        <w:rPr>
          <w:lang w:val="en-RW"/>
        </w:rPr>
      </w:pPr>
      <w:r w:rsidRPr="00441287">
        <w:rPr>
          <w:lang w:val="en-RW"/>
        </w:rPr>
        <w:t>Agricultural lending products should be tailored to the seasonal nature of farming activities. Flexible repayment schedules, agricultural credit guarantee schemes, and strengthened cooperative lending mechanisms can improve access to affordable credit for smallholder farmers. These interventions would help address the observed gap between loan demand and banking access.</w:t>
      </w:r>
    </w:p>
    <w:p w14:paraId="032323B1" w14:textId="77777777" w:rsidR="00441287" w:rsidRDefault="00441287" w:rsidP="00441287">
      <w:pPr>
        <w:rPr>
          <w:lang w:val="en-RW"/>
        </w:rPr>
      </w:pPr>
      <w:r w:rsidRPr="00441287">
        <w:rPr>
          <w:lang w:val="en-RW"/>
        </w:rPr>
        <w:t>Finally, reducing rural poverty requires a broader ecosystem approach. Initiatives such as savings mobilization programs, crop insurance schemes, access to agricultural markets, and investment in farmer training can improve household resilience and support sustainable economic growth. Strengthening financial inclusion should therefore be viewed as a key component of wider agricultural and rural development strategies.</w:t>
      </w:r>
    </w:p>
    <w:p w14:paraId="78C9C190" w14:textId="77777777" w:rsidR="007A0DEF" w:rsidRDefault="007A0DEF" w:rsidP="00441287">
      <w:pPr>
        <w:rPr>
          <w:lang w:val="en-RW"/>
        </w:rPr>
      </w:pPr>
    </w:p>
    <w:p w14:paraId="629C1A8B" w14:textId="77777777" w:rsidR="007A0DEF" w:rsidRDefault="007A0DEF" w:rsidP="00441287">
      <w:pPr>
        <w:rPr>
          <w:lang w:val="en-RW"/>
        </w:rPr>
      </w:pPr>
    </w:p>
    <w:p w14:paraId="08599001" w14:textId="77777777" w:rsidR="007A0DEF" w:rsidRDefault="007A0DEF" w:rsidP="00441287">
      <w:pPr>
        <w:rPr>
          <w:lang w:val="en-RW"/>
        </w:rPr>
      </w:pPr>
    </w:p>
    <w:p w14:paraId="7425F4FB" w14:textId="77777777" w:rsidR="007A0DEF" w:rsidRDefault="007A0DEF" w:rsidP="00441287">
      <w:pPr>
        <w:rPr>
          <w:lang w:val="en-RW"/>
        </w:rPr>
      </w:pPr>
    </w:p>
    <w:p w14:paraId="4397BAE2" w14:textId="77777777" w:rsidR="007A0DEF" w:rsidRDefault="007A0DEF" w:rsidP="00441287">
      <w:pPr>
        <w:rPr>
          <w:lang w:val="en-RW"/>
        </w:rPr>
      </w:pPr>
    </w:p>
    <w:p w14:paraId="46D1F3B5" w14:textId="77777777" w:rsidR="007A0DEF" w:rsidRDefault="007A0DEF" w:rsidP="00441287">
      <w:pPr>
        <w:rPr>
          <w:lang w:val="en-RW"/>
        </w:rPr>
      </w:pPr>
    </w:p>
    <w:p w14:paraId="4D54361E" w14:textId="77777777" w:rsidR="007A0DEF" w:rsidRDefault="007A0DEF" w:rsidP="00441287">
      <w:pPr>
        <w:rPr>
          <w:lang w:val="en-RW"/>
        </w:rPr>
      </w:pPr>
    </w:p>
    <w:p w14:paraId="7478B953" w14:textId="77777777" w:rsidR="007A0DEF" w:rsidRDefault="007A0DEF" w:rsidP="00441287">
      <w:pPr>
        <w:rPr>
          <w:lang w:val="en-RW"/>
        </w:rPr>
      </w:pPr>
    </w:p>
    <w:p w14:paraId="545F057E" w14:textId="77777777" w:rsidR="007A0DEF" w:rsidRPr="00441287" w:rsidRDefault="007A0DEF" w:rsidP="00441287">
      <w:pPr>
        <w:rPr>
          <w:lang w:val="en-RW"/>
        </w:rPr>
      </w:pPr>
    </w:p>
    <w:p w14:paraId="761D0049" w14:textId="11481182" w:rsidR="00441287" w:rsidRPr="00441287" w:rsidRDefault="00441287" w:rsidP="00441287">
      <w:pPr>
        <w:rPr>
          <w:b/>
          <w:bCs/>
          <w:lang w:val="en-RW"/>
        </w:rPr>
      </w:pPr>
      <w:r w:rsidRPr="00441287">
        <w:rPr>
          <w:b/>
          <w:bCs/>
          <w:lang w:val="en-RW"/>
        </w:rPr>
        <w:lastRenderedPageBreak/>
        <w:t>Appendix</w:t>
      </w:r>
    </w:p>
    <w:p w14:paraId="51A0D932" w14:textId="77777777" w:rsidR="00441287" w:rsidRPr="00441287" w:rsidRDefault="00441287" w:rsidP="00441287">
      <w:pPr>
        <w:rPr>
          <w:b/>
          <w:bCs/>
          <w:lang w:val="en-RW"/>
        </w:rPr>
      </w:pPr>
      <w:r w:rsidRPr="00441287">
        <w:rPr>
          <w:b/>
          <w:bCs/>
          <w:lang w:val="en-RW"/>
        </w:rPr>
        <w:t>Streamlit Dashboard</w:t>
      </w:r>
    </w:p>
    <w:p w14:paraId="22B93A7E" w14:textId="77777777" w:rsidR="00441287" w:rsidRPr="00441287" w:rsidRDefault="00441287" w:rsidP="00441287">
      <w:pPr>
        <w:rPr>
          <w:lang w:val="en-RW"/>
        </w:rPr>
      </w:pPr>
      <w:r w:rsidRPr="00441287">
        <w:rPr>
          <w:b/>
          <w:bCs/>
          <w:lang w:val="en-RW"/>
        </w:rPr>
        <w:t>Dashboard URL:</w:t>
      </w:r>
      <w:r w:rsidRPr="00441287">
        <w:rPr>
          <w:lang w:val="en-RW"/>
        </w:rPr>
        <w:br/>
      </w:r>
      <w:r w:rsidRPr="00441287">
        <w:rPr>
          <w:i/>
          <w:iCs/>
          <w:lang w:val="en-RW"/>
        </w:rPr>
        <w:t>To be updated after deployment.</w:t>
      </w:r>
    </w:p>
    <w:p w14:paraId="3705B9C2" w14:textId="77777777" w:rsidR="00441287" w:rsidRPr="00441287" w:rsidRDefault="00441287" w:rsidP="00441287">
      <w:pPr>
        <w:rPr>
          <w:b/>
          <w:bCs/>
          <w:lang w:val="en-RW"/>
        </w:rPr>
      </w:pPr>
      <w:r w:rsidRPr="00441287">
        <w:rPr>
          <w:b/>
          <w:bCs/>
          <w:lang w:val="en-RW"/>
        </w:rPr>
        <w:t>Dashboard Screenshots</w:t>
      </w:r>
    </w:p>
    <w:p w14:paraId="71B413FA" w14:textId="77777777" w:rsidR="00441287" w:rsidRPr="00441287" w:rsidRDefault="00441287" w:rsidP="00441287">
      <w:pPr>
        <w:rPr>
          <w:lang w:val="en-RW"/>
        </w:rPr>
      </w:pPr>
      <w:r w:rsidRPr="00441287">
        <w:rPr>
          <w:b/>
          <w:bCs/>
          <w:lang w:val="en-RW"/>
        </w:rPr>
        <w:t>Figure 1: Agricultural Households - Bank Account Ownership vs Loan Requests</w:t>
      </w:r>
    </w:p>
    <w:p w14:paraId="246F491F" w14:textId="77777777" w:rsidR="00441287" w:rsidRPr="00441287" w:rsidRDefault="00441287" w:rsidP="00441287">
      <w:pPr>
        <w:rPr>
          <w:lang w:val="en-RW"/>
        </w:rPr>
      </w:pPr>
      <w:r w:rsidRPr="00441287">
        <w:rPr>
          <w:i/>
          <w:iCs/>
          <w:lang w:val="en-RW"/>
        </w:rPr>
        <w:t>[Insert Streamlit screenshot here]</w:t>
      </w:r>
    </w:p>
    <w:p w14:paraId="5C54E1EF" w14:textId="77777777" w:rsidR="00441287" w:rsidRPr="00441287" w:rsidRDefault="00441287" w:rsidP="00441287">
      <w:pPr>
        <w:rPr>
          <w:lang w:val="en-RW"/>
        </w:rPr>
      </w:pPr>
      <w:r w:rsidRPr="00441287">
        <w:rPr>
          <w:b/>
          <w:bCs/>
          <w:lang w:val="en-RW"/>
        </w:rPr>
        <w:t>Figure 2: Financial Inclusion Gap by Province</w:t>
      </w:r>
    </w:p>
    <w:p w14:paraId="3F6C6617" w14:textId="77777777" w:rsidR="00441287" w:rsidRPr="00441287" w:rsidRDefault="00441287" w:rsidP="00441287">
      <w:pPr>
        <w:rPr>
          <w:lang w:val="en-RW"/>
        </w:rPr>
      </w:pPr>
      <w:r w:rsidRPr="00441287">
        <w:rPr>
          <w:i/>
          <w:iCs/>
          <w:lang w:val="en-RW"/>
        </w:rPr>
        <w:t>[Insert Streamlit screenshot here]</w:t>
      </w:r>
    </w:p>
    <w:p w14:paraId="3C955925" w14:textId="3C47ABAA" w:rsidR="00441287" w:rsidRPr="00441287" w:rsidRDefault="00441287" w:rsidP="00441287">
      <w:pPr>
        <w:rPr>
          <w:lang w:val="en-RW"/>
        </w:rPr>
      </w:pPr>
    </w:p>
    <w:p w14:paraId="4889C3A5" w14:textId="77777777" w:rsidR="00441287" w:rsidRPr="00441287" w:rsidRDefault="00441287" w:rsidP="00441287">
      <w:pPr>
        <w:rPr>
          <w:lang w:val="en-RW"/>
        </w:rPr>
      </w:pPr>
      <w:r w:rsidRPr="00441287">
        <w:rPr>
          <w:b/>
          <w:bCs/>
          <w:lang w:val="en-RW"/>
        </w:rPr>
        <w:t>Prepared Using:</w:t>
      </w:r>
      <w:r w:rsidRPr="00441287">
        <w:rPr>
          <w:lang w:val="en-RW"/>
        </w:rPr>
        <w:t xml:space="preserve"> Python, Pandas, Plotly, Jupyter Notebook, and Streamlit</w:t>
      </w:r>
      <w:r w:rsidRPr="00441287">
        <w:rPr>
          <w:lang w:val="en-RW"/>
        </w:rPr>
        <w:br/>
      </w:r>
      <w:r w:rsidRPr="00441287">
        <w:rPr>
          <w:b/>
          <w:bCs/>
          <w:lang w:val="en-RW"/>
        </w:rPr>
        <w:t>Data Source:</w:t>
      </w:r>
      <w:r w:rsidRPr="00441287">
        <w:rPr>
          <w:lang w:val="en-RW"/>
        </w:rPr>
        <w:t xml:space="preserve"> National Institute of Statistics of Rwanda (NISR), Agricultural Household Survey (AHS) 2024.</w:t>
      </w:r>
    </w:p>
    <w:p w14:paraId="182B4D2F" w14:textId="77777777" w:rsidR="00A554C2" w:rsidRPr="00441287" w:rsidRDefault="00A554C2">
      <w:pPr>
        <w:rPr>
          <w:lang w:val="en-RW"/>
        </w:rPr>
      </w:pPr>
    </w:p>
    <w:sectPr w:rsidR="00A554C2" w:rsidRPr="004412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B510B0"/>
    <w:multiLevelType w:val="multilevel"/>
    <w:tmpl w:val="E9888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AE6B18"/>
    <w:multiLevelType w:val="multilevel"/>
    <w:tmpl w:val="A470E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5228301">
    <w:abstractNumId w:val="1"/>
  </w:num>
  <w:num w:numId="2" w16cid:durableId="1476987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287"/>
    <w:rsid w:val="00441287"/>
    <w:rsid w:val="00537EE3"/>
    <w:rsid w:val="007A0DEF"/>
    <w:rsid w:val="00973044"/>
    <w:rsid w:val="00A554C2"/>
    <w:rsid w:val="00C807F2"/>
  </w:rsids>
  <m:mathPr>
    <m:mathFont m:val="Cambria Math"/>
    <m:brkBin m:val="before"/>
    <m:brkBinSub m:val="--"/>
    <m:smallFrac m:val="0"/>
    <m:dispDef/>
    <m:lMargin m:val="0"/>
    <m:rMargin m:val="0"/>
    <m:defJc m:val="centerGroup"/>
    <m:wrapIndent m:val="1440"/>
    <m:intLim m:val="subSup"/>
    <m:naryLim m:val="undOvr"/>
  </m:mathPr>
  <w:themeFontLang w:val="en-R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F8DB0"/>
  <w15:chartTrackingRefBased/>
  <w15:docId w15:val="{8D0F7F4A-DD45-4510-8BE6-11E173FF0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R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12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12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12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12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12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12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2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2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2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2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12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12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12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12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12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12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12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1287"/>
    <w:rPr>
      <w:rFonts w:eastAsiaTheme="majorEastAsia" w:cstheme="majorBidi"/>
      <w:color w:val="272727" w:themeColor="text1" w:themeTint="D8"/>
    </w:rPr>
  </w:style>
  <w:style w:type="paragraph" w:styleId="Title">
    <w:name w:val="Title"/>
    <w:basedOn w:val="Normal"/>
    <w:next w:val="Normal"/>
    <w:link w:val="TitleChar"/>
    <w:uiPriority w:val="10"/>
    <w:qFormat/>
    <w:rsid w:val="004412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12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12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12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1287"/>
    <w:pPr>
      <w:spacing w:before="160"/>
      <w:jc w:val="center"/>
    </w:pPr>
    <w:rPr>
      <w:i/>
      <w:iCs/>
      <w:color w:val="404040" w:themeColor="text1" w:themeTint="BF"/>
    </w:rPr>
  </w:style>
  <w:style w:type="character" w:customStyle="1" w:styleId="QuoteChar">
    <w:name w:val="Quote Char"/>
    <w:basedOn w:val="DefaultParagraphFont"/>
    <w:link w:val="Quote"/>
    <w:uiPriority w:val="29"/>
    <w:rsid w:val="00441287"/>
    <w:rPr>
      <w:i/>
      <w:iCs/>
      <w:color w:val="404040" w:themeColor="text1" w:themeTint="BF"/>
    </w:rPr>
  </w:style>
  <w:style w:type="paragraph" w:styleId="ListParagraph">
    <w:name w:val="List Paragraph"/>
    <w:basedOn w:val="Normal"/>
    <w:uiPriority w:val="34"/>
    <w:qFormat/>
    <w:rsid w:val="00441287"/>
    <w:pPr>
      <w:ind w:left="720"/>
      <w:contextualSpacing/>
    </w:pPr>
  </w:style>
  <w:style w:type="character" w:styleId="IntenseEmphasis">
    <w:name w:val="Intense Emphasis"/>
    <w:basedOn w:val="DefaultParagraphFont"/>
    <w:uiPriority w:val="21"/>
    <w:qFormat/>
    <w:rsid w:val="00441287"/>
    <w:rPr>
      <w:i/>
      <w:iCs/>
      <w:color w:val="0F4761" w:themeColor="accent1" w:themeShade="BF"/>
    </w:rPr>
  </w:style>
  <w:style w:type="paragraph" w:styleId="IntenseQuote">
    <w:name w:val="Intense Quote"/>
    <w:basedOn w:val="Normal"/>
    <w:next w:val="Normal"/>
    <w:link w:val="IntenseQuoteChar"/>
    <w:uiPriority w:val="30"/>
    <w:qFormat/>
    <w:rsid w:val="004412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1287"/>
    <w:rPr>
      <w:i/>
      <w:iCs/>
      <w:color w:val="0F4761" w:themeColor="accent1" w:themeShade="BF"/>
    </w:rPr>
  </w:style>
  <w:style w:type="character" w:styleId="IntenseReference">
    <w:name w:val="Intense Reference"/>
    <w:basedOn w:val="DefaultParagraphFont"/>
    <w:uiPriority w:val="32"/>
    <w:qFormat/>
    <w:rsid w:val="004412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3</Pages>
  <Words>667</Words>
  <Characters>3802</Characters>
  <Application>Microsoft Office Word</Application>
  <DocSecurity>0</DocSecurity>
  <Lines>31</Lines>
  <Paragraphs>8</Paragraphs>
  <ScaleCrop>false</ScaleCrop>
  <Company/>
  <LinksUpToDate>false</LinksUpToDate>
  <CharactersWithSpaces>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Mukuti Mukuti Mutisya</dc:creator>
  <cp:keywords/>
  <dc:description/>
  <cp:lastModifiedBy>Sarah Mukuti Mukuti Mutisya</cp:lastModifiedBy>
  <cp:revision>2</cp:revision>
  <dcterms:created xsi:type="dcterms:W3CDTF">2026-10-27T09:33:00Z</dcterms:created>
  <dcterms:modified xsi:type="dcterms:W3CDTF">2026-10-27T10:19:00Z</dcterms:modified>
</cp:coreProperties>
</file>