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5668E">
      <w:pPr>
        <w:spacing w:before="1200" w:after="80"/>
      </w:pPr>
    </w:p>
    <w:p w14:paraId="08FCFFFA">
      <w:pPr>
        <w:spacing w:before="0" w:after="200"/>
        <w:jc w:val="center"/>
      </w:pPr>
      <w:r>
        <w:rPr>
          <w:rFonts w:ascii="Arial" w:hAnsi="Arial" w:eastAsia="Arial" w:cs="Arial"/>
          <w:b/>
          <w:bCs/>
          <w:color w:val="1F3864"/>
          <w:sz w:val="52"/>
          <w:szCs w:val="52"/>
        </w:rPr>
        <w:t>研究方向技术文档</w:t>
      </w:r>
    </w:p>
    <w:p w14:paraId="3783951E">
      <w:pPr>
        <w:spacing w:before="0" w:after="160"/>
        <w:jc w:val="center"/>
      </w:pPr>
      <w:r>
        <w:rPr>
          <w:rFonts w:ascii="Arial" w:hAnsi="Arial" w:eastAsia="Arial" w:cs="Arial"/>
          <w:b/>
          <w:bCs/>
          <w:color w:val="2E5FA3"/>
          <w:sz w:val="36"/>
          <w:szCs w:val="36"/>
        </w:rPr>
        <w:t>针对扩散模型的成员推断攻击防御</w:t>
      </w:r>
    </w:p>
    <w:p w14:paraId="2A2DB989">
      <w:pPr>
        <w:spacing w:before="0" w:after="80"/>
        <w:jc w:val="center"/>
      </w:pPr>
      <w:r>
        <w:rPr>
          <w:rFonts w:ascii="Arial" w:hAnsi="Arial" w:eastAsia="Arial" w:cs="Arial"/>
          <w:i/>
          <w:iCs/>
          <w:color w:val="555555"/>
          <w:sz w:val="26"/>
          <w:szCs w:val="26"/>
        </w:rPr>
        <w:t>黑盒 · 白盒 · 灰盒 三维威胁模型下的统一防御框架</w:t>
      </w:r>
    </w:p>
    <w:p w14:paraId="04988665">
      <w:pPr>
        <w:pBdr>
          <w:bottom w:val="single" w:color="DDDDDD" w:sz="4" w:space="1"/>
        </w:pBdr>
        <w:spacing w:before="120" w:after="120"/>
      </w:pPr>
    </w:p>
    <w:p w14:paraId="0F72AB15">
      <w:pPr>
        <w:spacing w:before="120" w:after="40"/>
        <w:jc w:val="center"/>
      </w:pPr>
      <w:r>
        <w:rPr>
          <w:rFonts w:ascii="Arial" w:hAnsi="Arial" w:eastAsia="Arial" w:cs="Arial"/>
          <w:color w:val="888888"/>
          <w:sz w:val="20"/>
          <w:szCs w:val="20"/>
        </w:rPr>
        <w:t>版本：v1.0    日期：2026年4月</w:t>
      </w:r>
    </w:p>
    <w:p w14:paraId="6C4271AE">
      <w:pPr>
        <w:spacing w:before="0" w:after="0"/>
        <w:jc w:val="center"/>
      </w:pPr>
      <w:r>
        <w:rPr>
          <w:rFonts w:ascii="Arial" w:hAnsi="Arial" w:eastAsia="Arial" w:cs="Arial"/>
          <w:color w:val="888888"/>
          <w:sz w:val="20"/>
          <w:szCs w:val="20"/>
        </w:rPr>
        <w:t xml:space="preserve">供研究组内部使用 </w:t>
      </w:r>
    </w:p>
    <w:p w14:paraId="0244FA0D">
      <w:pPr>
        <w:spacing w:before="600" w:after="80"/>
      </w:pPr>
    </w:p>
    <w:p w14:paraId="4F2CFDF3">
      <w:pPr>
        <w:pStyle w:val="2"/>
        <w:spacing w:before="360" w:after="180"/>
      </w:pPr>
      <w:r>
        <w:rPr>
          <w:rFonts w:ascii="Arial" w:hAnsi="Arial" w:eastAsia="Arial" w:cs="Arial"/>
          <w:b/>
          <w:bCs/>
          <w:color w:val="1F3864"/>
          <w:sz w:val="32"/>
          <w:szCs w:val="32"/>
        </w:rPr>
        <w:t>一、研究背景与问题定义</w:t>
      </w:r>
    </w:p>
    <w:p w14:paraId="02855BE3">
      <w:pPr>
        <w:spacing w:before="80" w:after="120"/>
      </w:pPr>
      <w:r>
        <w:rPr>
          <w:rFonts w:ascii="Arial" w:hAnsi="Arial" w:eastAsia="Arial" w:cs="Arial"/>
          <w:sz w:val="22"/>
          <w:szCs w:val="22"/>
        </w:rPr>
        <w:t>扩散模型（Diffusion Models）近年来在图像生成领域取得了显著成果，以 DDPM、DDIM、Stable Diffusion 为代表的模型已被广泛部署于商业产品中。然而，随着其大规模应用，训练数据隐私安全问题日益突出。</w:t>
      </w:r>
    </w:p>
    <w:p w14:paraId="26F11E0B">
      <w:pPr>
        <w:spacing w:before="80" w:after="120"/>
      </w:pPr>
      <w:r>
        <w:rPr>
          <w:rFonts w:ascii="Arial" w:hAnsi="Arial" w:eastAsia="Arial" w:cs="Arial"/>
          <w:sz w:val="22"/>
          <w:szCs w:val="22"/>
        </w:rPr>
        <w:t>成员推断攻击（Membership Inference Attack, MIA）旨在判断某一特定样本是否曾被用于目标模型的训练，这直接威胁到训练数据的隐私安全，尤其在医疗影像、人脸数据、版权图像等敏感场景中危害极大。</w:t>
      </w:r>
    </w:p>
    <w:p w14:paraId="10BAA164">
      <w:pPr>
        <w:spacing w:before="80" w:after="80"/>
      </w:pPr>
    </w:p>
    <w:p w14:paraId="5DA6A4AC">
      <w:pPr>
        <w:spacing w:before="80" w:after="120"/>
      </w:pPr>
      <w:r>
        <w:rPr>
          <w:rFonts w:ascii="Arial" w:hAnsi="Arial" w:eastAsia="Arial" w:cs="Arial"/>
          <w:b/>
          <w:bCs/>
          <w:sz w:val="22"/>
          <w:szCs w:val="22"/>
        </w:rPr>
        <w:t>本研究聚焦于以下核心问题：</w:t>
      </w:r>
    </w:p>
    <w:p w14:paraId="3309A38E">
      <w:pPr>
        <w:pStyle w:val="16"/>
        <w:numPr>
          <w:ilvl w:val="0"/>
          <w:numId w:val="1"/>
        </w:numPr>
        <w:spacing w:before="60" w:after="60"/>
      </w:pPr>
      <w:r>
        <w:rPr>
          <w:rFonts w:ascii="Arial" w:hAnsi="Arial" w:eastAsia="Arial" w:cs="Arial"/>
          <w:sz w:val="22"/>
          <w:szCs w:val="22"/>
        </w:rPr>
        <w:t>扩散模型在黑盒、白盒、灰盒三种攻击设定下，各自的成员泄露机制是什么？</w:t>
      </w:r>
    </w:p>
    <w:p w14:paraId="060F4EA4">
      <w:pPr>
        <w:pStyle w:val="16"/>
        <w:numPr>
          <w:ilvl w:val="0"/>
          <w:numId w:val="1"/>
        </w:numPr>
        <w:spacing w:before="60" w:after="60"/>
      </w:pPr>
      <w:r>
        <w:rPr>
          <w:rFonts w:ascii="Arial" w:hAnsi="Arial" w:eastAsia="Arial" w:cs="Arial"/>
          <w:sz w:val="22"/>
          <w:szCs w:val="22"/>
        </w:rPr>
        <w:t>针对每种威胁模型，如何设计有效且实用的防御机制？</w:t>
      </w:r>
    </w:p>
    <w:p w14:paraId="33298121">
      <w:pPr>
        <w:pStyle w:val="16"/>
        <w:numPr>
          <w:ilvl w:val="0"/>
          <w:numId w:val="1"/>
        </w:numPr>
        <w:spacing w:before="60" w:after="60"/>
      </w:pPr>
      <w:r>
        <w:rPr>
          <w:rFonts w:ascii="Arial" w:hAnsi="Arial" w:eastAsia="Arial" w:cs="Arial"/>
          <w:sz w:val="22"/>
          <w:szCs w:val="22"/>
        </w:rPr>
        <w:t>扩散模型特有的去噪轨迹、潜变量、条件信号等结构是否引入了新的攻击面，如何针对性防御？</w:t>
      </w:r>
    </w:p>
    <w:p w14:paraId="20DD6012">
      <w:pPr>
        <w:spacing w:before="80" w:after="80"/>
      </w:pPr>
    </w:p>
    <w:p w14:paraId="6C598294">
      <w:pPr>
        <w:pStyle w:val="2"/>
        <w:spacing w:before="360" w:after="180"/>
      </w:pPr>
      <w:r>
        <w:rPr>
          <w:rFonts w:ascii="Arial" w:hAnsi="Arial" w:eastAsia="Arial" w:cs="Arial"/>
          <w:b/>
          <w:bCs/>
          <w:color w:val="1F3864"/>
          <w:sz w:val="32"/>
          <w:szCs w:val="32"/>
        </w:rPr>
        <w:t>二、三种威胁模型的严格定义</w:t>
      </w:r>
    </w:p>
    <w:p w14:paraId="102F0642">
      <w:pPr>
        <w:spacing w:before="80" w:after="120"/>
      </w:pPr>
      <w:r>
        <w:rPr>
          <w:rFonts w:ascii="Arial" w:hAnsi="Arial" w:eastAsia="Arial" w:cs="Arial"/>
          <w:sz w:val="22"/>
          <w:szCs w:val="22"/>
        </w:rPr>
        <w:t>在设计防御之前，必须首先严格定义攻击者的能力边界，这是防御可信度的基础。</w:t>
      </w:r>
    </w:p>
    <w:p w14:paraId="6D231ECE">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580"/>
        <w:gridCol w:w="2580"/>
        <w:gridCol w:w="2600"/>
      </w:tblGrid>
      <w:tr w14:paraId="22DE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49B86787">
            <w:pPr>
              <w:jc w:val="center"/>
            </w:pPr>
            <w:r>
              <w:rPr>
                <w:rFonts w:ascii="Arial" w:hAnsi="Arial" w:eastAsia="Arial" w:cs="Arial"/>
                <w:b/>
                <w:bCs/>
                <w:color w:val="FFFFFF"/>
                <w:sz w:val="20"/>
                <w:szCs w:val="20"/>
              </w:rPr>
              <w:t>属性</w:t>
            </w:r>
          </w:p>
        </w:tc>
        <w:tc>
          <w:tcPr>
            <w:tcW w:w="258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10616B5A">
            <w:pPr>
              <w:jc w:val="center"/>
            </w:pPr>
            <w:r>
              <w:rPr>
                <w:rFonts w:ascii="Arial" w:hAnsi="Arial" w:eastAsia="Arial" w:cs="Arial"/>
                <w:b/>
                <w:bCs/>
                <w:color w:val="FFFFFF"/>
                <w:sz w:val="20"/>
                <w:szCs w:val="20"/>
              </w:rPr>
              <w:t>黑盒（Black-box）</w:t>
            </w:r>
          </w:p>
        </w:tc>
        <w:tc>
          <w:tcPr>
            <w:tcW w:w="258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779B239C">
            <w:pPr>
              <w:jc w:val="center"/>
            </w:pPr>
            <w:r>
              <w:rPr>
                <w:rFonts w:ascii="Arial" w:hAnsi="Arial" w:eastAsia="Arial" w:cs="Arial"/>
                <w:b/>
                <w:bCs/>
                <w:color w:val="FFFFFF"/>
                <w:sz w:val="20"/>
                <w:szCs w:val="20"/>
              </w:rPr>
              <w:t>灰盒（Gray-box）</w:t>
            </w:r>
          </w:p>
        </w:tc>
        <w:tc>
          <w:tcPr>
            <w:tcW w:w="260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55305CFF">
            <w:pPr>
              <w:jc w:val="center"/>
            </w:pPr>
            <w:r>
              <w:rPr>
                <w:rFonts w:ascii="Arial" w:hAnsi="Arial" w:eastAsia="Arial" w:cs="Arial"/>
                <w:b/>
                <w:bCs/>
                <w:color w:val="FFFFFF"/>
                <w:sz w:val="20"/>
                <w:szCs w:val="20"/>
              </w:rPr>
              <w:t>白盒（White-box）</w:t>
            </w:r>
          </w:p>
        </w:tc>
      </w:tr>
      <w:tr w14:paraId="0FC1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760501F8">
            <w:r>
              <w:rPr>
                <w:rFonts w:ascii="Arial" w:hAnsi="Arial" w:eastAsia="Arial" w:cs="Arial"/>
                <w:b/>
                <w:bCs/>
                <w:color w:val="1F3864"/>
                <w:sz w:val="20"/>
                <w:szCs w:val="20"/>
              </w:rPr>
              <w:t>模型访问</w:t>
            </w:r>
          </w:p>
        </w:tc>
        <w:tc>
          <w:tcPr>
            <w:tcW w:w="25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6D4D1FF9">
            <w:r>
              <w:rPr>
                <w:rFonts w:ascii="Arial" w:hAnsi="Arial" w:eastAsia="Arial" w:cs="Arial"/>
                <w:b w:val="0"/>
                <w:bCs w:val="0"/>
                <w:color w:val="1F1F1F"/>
                <w:sz w:val="20"/>
                <w:szCs w:val="20"/>
              </w:rPr>
              <w:t>仅输出（生成图像、损失值）</w:t>
            </w:r>
          </w:p>
        </w:tc>
        <w:tc>
          <w:tcPr>
            <w:tcW w:w="25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4217C970">
            <w:r>
              <w:rPr>
                <w:rFonts w:ascii="Arial" w:hAnsi="Arial" w:eastAsia="Arial" w:cs="Arial"/>
                <w:b w:val="0"/>
                <w:bCs w:val="0"/>
                <w:color w:val="1F1F1F"/>
                <w:sz w:val="20"/>
                <w:szCs w:val="20"/>
              </w:rPr>
              <w:t>架构已知，部分权重/API</w:t>
            </w:r>
          </w:p>
        </w:tc>
        <w:tc>
          <w:tcPr>
            <w:tcW w:w="260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0AD9C7B0">
            <w:r>
              <w:rPr>
                <w:rFonts w:ascii="Arial" w:hAnsi="Arial" w:eastAsia="Arial" w:cs="Arial"/>
                <w:b w:val="0"/>
                <w:bCs w:val="0"/>
                <w:color w:val="1F1F1F"/>
                <w:sz w:val="20"/>
                <w:szCs w:val="20"/>
              </w:rPr>
              <w:t>完整参数、梯度、激活值</w:t>
            </w:r>
          </w:p>
        </w:tc>
      </w:tr>
      <w:tr w14:paraId="362B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3DEB81AF">
            <w:r>
              <w:rPr>
                <w:rFonts w:ascii="Arial" w:hAnsi="Arial" w:eastAsia="Arial" w:cs="Arial"/>
                <w:b/>
                <w:bCs/>
                <w:color w:val="1F3864"/>
                <w:sz w:val="20"/>
                <w:szCs w:val="20"/>
              </w:rPr>
              <w:t>先验知识</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04ECFF">
            <w:r>
              <w:rPr>
                <w:rFonts w:ascii="Arial" w:hAnsi="Arial" w:eastAsia="Arial" w:cs="Arial"/>
                <w:b w:val="0"/>
                <w:bCs w:val="0"/>
                <w:color w:val="1F1F1F"/>
                <w:sz w:val="20"/>
                <w:szCs w:val="20"/>
              </w:rPr>
              <w:t>无模型内部信息</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810AED5">
            <w:r>
              <w:rPr>
                <w:rFonts w:ascii="Arial" w:hAnsi="Arial" w:eastAsia="Arial" w:cs="Arial"/>
                <w:b w:val="0"/>
                <w:bCs w:val="0"/>
                <w:color w:val="1F1F1F"/>
                <w:sz w:val="20"/>
                <w:szCs w:val="20"/>
              </w:rPr>
              <w:t>知道模型架构和超参数</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F4A1F7">
            <w:r>
              <w:rPr>
                <w:rFonts w:ascii="Arial" w:hAnsi="Arial" w:eastAsia="Arial" w:cs="Arial"/>
                <w:b w:val="0"/>
                <w:bCs w:val="0"/>
                <w:color w:val="1F1F1F"/>
                <w:sz w:val="20"/>
                <w:szCs w:val="20"/>
              </w:rPr>
              <w:t>完整模型权重</w:t>
            </w:r>
          </w:p>
        </w:tc>
      </w:tr>
      <w:tr w14:paraId="0F700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4B6D5F74">
            <w:r>
              <w:rPr>
                <w:rFonts w:ascii="Arial" w:hAnsi="Arial" w:eastAsia="Arial" w:cs="Arial"/>
                <w:b/>
                <w:bCs/>
                <w:color w:val="1F3864"/>
                <w:sz w:val="20"/>
                <w:szCs w:val="20"/>
              </w:rPr>
              <w:t>主要攻击方式</w:t>
            </w:r>
          </w:p>
        </w:tc>
        <w:tc>
          <w:tcPr>
            <w:tcW w:w="25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0B434201">
            <w:pPr>
              <w:spacing w:before="0" w:after="0"/>
            </w:pPr>
            <w:r>
              <w:rPr>
                <w:rFonts w:ascii="Arial" w:hAnsi="Arial" w:eastAsia="Arial" w:cs="Arial"/>
                <w:sz w:val="20"/>
                <w:szCs w:val="20"/>
              </w:rPr>
              <w:t>重建误差对比</w:t>
            </w:r>
          </w:p>
          <w:p w14:paraId="4F16F2AE">
            <w:pPr>
              <w:spacing w:before="40" w:after="0"/>
            </w:pPr>
            <w:r>
              <w:rPr>
                <w:rFonts w:ascii="Arial" w:hAnsi="Arial" w:eastAsia="Arial" w:cs="Arial"/>
                <w:sz w:val="20"/>
                <w:szCs w:val="20"/>
              </w:rPr>
              <w:t>多步骤损失统计</w:t>
            </w:r>
          </w:p>
          <w:p w14:paraId="797BCDE3">
            <w:pPr>
              <w:spacing w:before="40" w:after="0"/>
            </w:pPr>
            <w:r>
              <w:rPr>
                <w:rFonts w:ascii="Arial" w:hAnsi="Arial" w:eastAsia="Arial" w:cs="Arial"/>
                <w:sz w:val="20"/>
                <w:szCs w:val="20"/>
              </w:rPr>
              <w:t>似然阈值判断</w:t>
            </w:r>
          </w:p>
        </w:tc>
        <w:tc>
          <w:tcPr>
            <w:tcW w:w="25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55DB5B62">
            <w:pPr>
              <w:spacing w:before="0" w:after="0"/>
            </w:pPr>
            <w:r>
              <w:rPr>
                <w:rFonts w:ascii="Arial" w:hAnsi="Arial" w:eastAsia="Arial" w:cs="Arial"/>
                <w:sz w:val="20"/>
                <w:szCs w:val="20"/>
              </w:rPr>
              <w:t>影子模型攻击</w:t>
            </w:r>
          </w:p>
          <w:p w14:paraId="1433B6D2">
            <w:pPr>
              <w:spacing w:before="40" w:after="0"/>
            </w:pPr>
            <w:r>
              <w:rPr>
                <w:rFonts w:ascii="Arial" w:hAnsi="Arial" w:eastAsia="Arial" w:cs="Arial"/>
                <w:sz w:val="20"/>
                <w:szCs w:val="20"/>
              </w:rPr>
              <w:t>迁移攻击</w:t>
            </w:r>
          </w:p>
          <w:p w14:paraId="0FB19505">
            <w:pPr>
              <w:spacing w:before="40" w:after="0"/>
            </w:pPr>
            <w:r>
              <w:rPr>
                <w:rFonts w:ascii="Arial" w:hAnsi="Arial" w:eastAsia="Arial" w:cs="Arial"/>
                <w:sz w:val="20"/>
                <w:szCs w:val="20"/>
              </w:rPr>
              <w:t>元分类器攻击</w:t>
            </w:r>
          </w:p>
        </w:tc>
        <w:tc>
          <w:tcPr>
            <w:tcW w:w="260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7A6586C5">
            <w:pPr>
              <w:spacing w:before="0" w:after="0"/>
            </w:pPr>
            <w:r>
              <w:rPr>
                <w:rFonts w:ascii="Arial" w:hAnsi="Arial" w:eastAsia="Arial" w:cs="Arial"/>
                <w:sz w:val="20"/>
                <w:szCs w:val="20"/>
              </w:rPr>
              <w:t>梯度范数分析</w:t>
            </w:r>
          </w:p>
          <w:p w14:paraId="6073604E">
            <w:pPr>
              <w:spacing w:before="40" w:after="0"/>
            </w:pPr>
            <w:r>
              <w:rPr>
                <w:rFonts w:ascii="Arial" w:hAnsi="Arial" w:eastAsia="Arial" w:cs="Arial"/>
                <w:sz w:val="20"/>
                <w:szCs w:val="20"/>
              </w:rPr>
              <w:t>DDIM Inversion</w:t>
            </w:r>
          </w:p>
          <w:p w14:paraId="2E9E321E">
            <w:pPr>
              <w:spacing w:before="40" w:after="0"/>
            </w:pPr>
            <w:r>
              <w:rPr>
                <w:rFonts w:ascii="Arial" w:hAnsi="Arial" w:eastAsia="Arial" w:cs="Arial"/>
                <w:sz w:val="20"/>
                <w:szCs w:val="20"/>
              </w:rPr>
              <w:t>中间激活差异</w:t>
            </w:r>
          </w:p>
        </w:tc>
      </w:tr>
      <w:tr w14:paraId="012F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6E875F11">
            <w:r>
              <w:rPr>
                <w:rFonts w:ascii="Arial" w:hAnsi="Arial" w:eastAsia="Arial" w:cs="Arial"/>
                <w:b/>
                <w:bCs/>
                <w:color w:val="1F3864"/>
                <w:sz w:val="20"/>
                <w:szCs w:val="20"/>
              </w:rPr>
              <w:t>典型现实场景</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CCD09AE">
            <w:r>
              <w:rPr>
                <w:rFonts w:ascii="Arial" w:hAnsi="Arial" w:eastAsia="Arial" w:cs="Arial"/>
                <w:b w:val="0"/>
                <w:bCs w:val="0"/>
                <w:color w:val="1F1F1F"/>
                <w:sz w:val="20"/>
                <w:szCs w:val="20"/>
              </w:rPr>
              <w:t>攻击商业API（Midjourney等）</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6A3210">
            <w:r>
              <w:rPr>
                <w:rFonts w:ascii="Arial" w:hAnsi="Arial" w:eastAsia="Arial" w:cs="Arial"/>
                <w:b w:val="0"/>
                <w:bCs w:val="0"/>
                <w:color w:val="1F1F1F"/>
                <w:sz w:val="20"/>
                <w:szCs w:val="20"/>
              </w:rPr>
              <w:t>攻击开源部署模型</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CA095B">
            <w:r>
              <w:rPr>
                <w:rFonts w:ascii="Arial" w:hAnsi="Arial" w:eastAsia="Arial" w:cs="Arial"/>
                <w:b w:val="0"/>
                <w:bCs w:val="0"/>
                <w:color w:val="1F1F1F"/>
                <w:sz w:val="20"/>
                <w:szCs w:val="20"/>
              </w:rPr>
              <w:t>内部人员/模型泄露场景</w:t>
            </w:r>
          </w:p>
        </w:tc>
      </w:tr>
    </w:tbl>
    <w:p w14:paraId="78D0B712">
      <w:pPr>
        <w:spacing w:before="160" w:after="80"/>
      </w:pPr>
    </w:p>
    <w:p w14:paraId="037FA7E8">
      <w:pPr>
        <w:pStyle w:val="2"/>
        <w:spacing w:before="360" w:after="180"/>
      </w:pPr>
      <w:r>
        <w:rPr>
          <w:rFonts w:ascii="Arial" w:hAnsi="Arial" w:eastAsia="Arial" w:cs="Arial"/>
          <w:b/>
          <w:bCs/>
          <w:color w:val="1F3864"/>
          <w:sz w:val="32"/>
          <w:szCs w:val="32"/>
        </w:rPr>
        <w:t>三、扩散模型特有攻击面分析（核心创新点一）</w:t>
      </w:r>
    </w:p>
    <w:p w14:paraId="14A569D2">
      <w:pPr>
        <w:spacing w:before="80" w:after="120"/>
      </w:pPr>
      <w:r>
        <w:rPr>
          <w:rFonts w:ascii="Arial" w:hAnsi="Arial" w:eastAsia="Arial" w:cs="Arial"/>
          <w:sz w:val="22"/>
          <w:szCs w:val="22"/>
        </w:rPr>
        <w:t>与判别模型相比，扩散模型具有独特的生成机制，产生了三类此前未被系统研究的攻击面。这是本工作的第一个创新点：系统刻画这些攻击面并针对性地提出防御。</w:t>
      </w:r>
    </w:p>
    <w:p w14:paraId="0BE43150">
      <w:pPr>
        <w:spacing w:before="80" w:after="80"/>
      </w:pPr>
    </w:p>
    <w:p w14:paraId="219BC20D">
      <w:pPr>
        <w:pStyle w:val="3"/>
        <w:spacing w:before="280" w:after="120"/>
      </w:pPr>
      <w:r>
        <w:rPr>
          <w:rFonts w:ascii="Arial" w:hAnsi="Arial" w:eastAsia="Arial" w:cs="Arial"/>
          <w:b/>
          <w:bCs/>
          <w:color w:val="2E5FA3"/>
          <w:sz w:val="26"/>
          <w:szCs w:val="26"/>
        </w:rPr>
        <w:t>3.1  去噪轨迹泄露（Denoising Trajectory Leakage）</w:t>
      </w:r>
    </w:p>
    <w:p w14:paraId="7516DCCB">
      <w:pPr>
        <w:spacing w:before="80" w:after="80"/>
      </w:pPr>
      <w:r>
        <w:rPr>
          <w:rFonts w:ascii="Arial" w:hAnsi="Arial" w:eastAsia="Arial" w:cs="Arial"/>
          <w:b/>
          <w:bCs/>
          <w:sz w:val="22"/>
          <w:szCs w:val="22"/>
        </w:rPr>
        <w:t>泄露机制：</w:t>
      </w:r>
      <w:r>
        <w:rPr>
          <w:rFonts w:ascii="Arial" w:hAnsi="Arial" w:eastAsia="Arial" w:cs="Arial"/>
          <w:sz w:val="22"/>
          <w:szCs w:val="22"/>
        </w:rPr>
        <w:t>扩散模型的去噪过程包含 T 步（通常 T=1000），每步都有对应的预测损失 L_t。成员样本由于已被训练，其损失序列 {L_1, L_2, ..., L_T} 整体更低且更平滑；非成员样本的损失序列则更高且波动更大。攻击者可以利用这一时间序列特征，而不仅仅是最终损失，大幅提升攻击成功率。</w:t>
      </w:r>
    </w:p>
    <w:p w14:paraId="012A25EF">
      <w:pPr>
        <w:spacing w:before="80" w:after="80"/>
      </w:pPr>
      <w:r>
        <w:rPr>
          <w:rFonts w:ascii="Arial" w:hAnsi="Arial" w:eastAsia="Arial" w:cs="Arial"/>
          <w:b/>
          <w:bCs/>
          <w:sz w:val="22"/>
          <w:szCs w:val="22"/>
        </w:rPr>
        <w:t>已有攻击：</w:t>
      </w:r>
      <w:r>
        <w:rPr>
          <w:rFonts w:ascii="Arial" w:hAnsi="Arial" w:eastAsia="Arial" w:cs="Arial"/>
          <w:sz w:val="22"/>
          <w:szCs w:val="22"/>
        </w:rPr>
        <w:t>SecMI（NeurIPS 2023）利用中间步骤的误差突变点作为成员信号，在 CIFAR-10 上攻击成功率可超过 80%。</w:t>
      </w:r>
    </w:p>
    <w:p w14:paraId="3672DD2C">
      <w:pPr>
        <w:spacing w:before="80" w:after="80"/>
      </w:pPr>
      <w:r>
        <w:rPr>
          <w:rFonts w:ascii="Arial" w:hAnsi="Arial" w:eastAsia="Arial" w:cs="Arial"/>
          <w:b/>
          <w:bCs/>
          <w:sz w:val="22"/>
          <w:szCs w:val="22"/>
        </w:rPr>
        <w:t>防御思路：</w:t>
      </w:r>
    </w:p>
    <w:p w14:paraId="0BFA785B">
      <w:pPr>
        <w:pStyle w:val="16"/>
        <w:numPr>
          <w:ilvl w:val="0"/>
          <w:numId w:val="1"/>
        </w:numPr>
        <w:spacing w:before="60" w:after="60"/>
      </w:pPr>
      <w:r>
        <w:rPr>
          <w:rFonts w:ascii="Arial" w:hAnsi="Arial" w:eastAsia="Arial" w:cs="Arial"/>
          <w:b/>
          <w:bCs/>
          <w:sz w:val="22"/>
          <w:szCs w:val="22"/>
        </w:rPr>
        <w:t>轨迹截断（Trajectory Truncation）：</w:t>
      </w:r>
      <w:r>
        <w:rPr>
          <w:rFonts w:ascii="Arial" w:hAnsi="Arial" w:eastAsia="Arial" w:cs="Arial"/>
          <w:sz w:val="22"/>
          <w:szCs w:val="22"/>
        </w:rPr>
        <w:t>对外只暴露前 k 步的去噪结果，隐藏后期精细步骤的损失信号；</w:t>
      </w:r>
    </w:p>
    <w:p w14:paraId="356FA8DF">
      <w:pPr>
        <w:pStyle w:val="16"/>
        <w:numPr>
          <w:ilvl w:val="0"/>
          <w:numId w:val="1"/>
        </w:numPr>
        <w:spacing w:before="60" w:after="60"/>
      </w:pPr>
      <w:r>
        <w:rPr>
          <w:rFonts w:ascii="Arial" w:hAnsi="Arial" w:eastAsia="Arial" w:cs="Arial"/>
          <w:b/>
          <w:bCs/>
          <w:sz w:val="22"/>
          <w:szCs w:val="22"/>
        </w:rPr>
        <w:t>步骤级噪声注入：</w:t>
      </w:r>
      <w:r>
        <w:rPr>
          <w:rFonts w:ascii="Arial" w:hAnsi="Arial" w:eastAsia="Arial" w:cs="Arial"/>
          <w:sz w:val="22"/>
          <w:szCs w:val="22"/>
        </w:rPr>
        <w:t>在每步输出上加入校准的高斯噪声，使各步骤损失序列的统计特性均匀化；</w:t>
      </w:r>
    </w:p>
    <w:p w14:paraId="1117489F">
      <w:pPr>
        <w:pStyle w:val="16"/>
        <w:numPr>
          <w:ilvl w:val="0"/>
          <w:numId w:val="1"/>
        </w:numPr>
        <w:spacing w:before="60" w:after="60"/>
      </w:pPr>
      <w:r>
        <w:rPr>
          <w:rFonts w:ascii="Arial" w:hAnsi="Arial" w:eastAsia="Arial" w:cs="Arial"/>
          <w:b/>
          <w:bCs/>
          <w:sz w:val="22"/>
          <w:szCs w:val="22"/>
        </w:rPr>
        <w:t>随机步骤采样：</w:t>
      </w:r>
      <w:r>
        <w:rPr>
          <w:rFonts w:ascii="Arial" w:hAnsi="Arial" w:eastAsia="Arial" w:cs="Arial"/>
          <w:sz w:val="22"/>
          <w:szCs w:val="22"/>
        </w:rPr>
        <w:t>推理时随机选取步骤子集，打断攻击者对完整轨迹的观测。</w:t>
      </w:r>
    </w:p>
    <w:p w14:paraId="5525816B">
      <w:pPr>
        <w:spacing w:before="80" w:after="80"/>
      </w:pPr>
    </w:p>
    <w:p w14:paraId="06E38455">
      <w:pPr>
        <w:pStyle w:val="3"/>
        <w:spacing w:before="280" w:after="120"/>
      </w:pPr>
      <w:r>
        <w:rPr>
          <w:rFonts w:ascii="Arial" w:hAnsi="Arial" w:eastAsia="Arial" w:cs="Arial"/>
          <w:b/>
          <w:bCs/>
          <w:color w:val="2E5FA3"/>
          <w:sz w:val="26"/>
          <w:szCs w:val="26"/>
        </w:rPr>
        <w:t>3.2  Classifier-Free Guidance 条件信号泄露</w:t>
      </w:r>
    </w:p>
    <w:p w14:paraId="0C78F0E4">
      <w:pPr>
        <w:spacing w:before="80" w:after="80"/>
      </w:pPr>
      <w:r>
        <w:rPr>
          <w:rFonts w:ascii="Arial" w:hAnsi="Arial" w:eastAsia="Arial" w:cs="Arial"/>
          <w:b/>
          <w:bCs/>
          <w:sz w:val="22"/>
          <w:szCs w:val="22"/>
        </w:rPr>
        <w:t>泄露机制：</w:t>
      </w:r>
      <w:r>
        <w:rPr>
          <w:rFonts w:ascii="Arial" w:hAnsi="Arial" w:eastAsia="Arial" w:cs="Arial"/>
          <w:sz w:val="22"/>
          <w:szCs w:val="22"/>
        </w:rPr>
        <w:t>CFG 在推理时同时计算条件输出 eps_c 和无条件输出 eps_u，并通过 guidance scale w 放大差异：eps_final = eps_u + w*(eps_c - eps_u)。成员样本的条件/无条件输出差异（即 eps_c - eps_u 的范数）通常更大，这一差值可成为成员信号。</w:t>
      </w:r>
    </w:p>
    <w:p w14:paraId="53BE7E3F">
      <w:pPr>
        <w:spacing w:before="80" w:after="80"/>
      </w:pPr>
      <w:r>
        <w:rPr>
          <w:rFonts w:ascii="Arial" w:hAnsi="Arial" w:eastAsia="Arial" w:cs="Arial"/>
          <w:b/>
          <w:bCs/>
          <w:sz w:val="22"/>
          <w:szCs w:val="22"/>
        </w:rPr>
        <w:t>防御思路：</w:t>
      </w:r>
    </w:p>
    <w:p w14:paraId="4BE734B9">
      <w:pPr>
        <w:pStyle w:val="16"/>
        <w:numPr>
          <w:ilvl w:val="0"/>
          <w:numId w:val="1"/>
        </w:numPr>
        <w:spacing w:before="60" w:after="60"/>
      </w:pPr>
      <w:r>
        <w:rPr>
          <w:rFonts w:ascii="Arial" w:hAnsi="Arial" w:eastAsia="Arial" w:cs="Arial"/>
          <w:b/>
          <w:bCs/>
          <w:sz w:val="22"/>
          <w:szCs w:val="22"/>
        </w:rPr>
        <w:t>Guidance Scale 扰动：</w:t>
      </w:r>
      <w:r>
        <w:rPr>
          <w:rFonts w:ascii="Arial" w:hAnsi="Arial" w:eastAsia="Arial" w:cs="Arial"/>
          <w:sz w:val="22"/>
          <w:szCs w:val="22"/>
        </w:rPr>
        <w:t>对外暴露的 w 值加入随机噪声，或使用动态 w 策略（每次查询随机选取不同的 w）；</w:t>
      </w:r>
    </w:p>
    <w:p w14:paraId="176FBED7">
      <w:pPr>
        <w:pStyle w:val="16"/>
        <w:numPr>
          <w:ilvl w:val="0"/>
          <w:numId w:val="1"/>
        </w:numPr>
        <w:spacing w:before="60" w:after="60"/>
      </w:pPr>
      <w:r>
        <w:rPr>
          <w:rFonts w:ascii="Arial" w:hAnsi="Arial" w:eastAsia="Arial" w:cs="Arial"/>
          <w:b/>
          <w:bCs/>
          <w:sz w:val="22"/>
          <w:szCs w:val="22"/>
        </w:rPr>
        <w:t>无条件输出混淆：</w:t>
      </w:r>
      <w:r>
        <w:rPr>
          <w:rFonts w:ascii="Arial" w:hAnsi="Arial" w:eastAsia="Arial" w:cs="Arial"/>
          <w:sz w:val="22"/>
          <w:szCs w:val="22"/>
        </w:rPr>
        <w:t>对 eps_u 加入校准扰动，降低条件差异的区分度；</w:t>
      </w:r>
    </w:p>
    <w:p w14:paraId="48975550">
      <w:pPr>
        <w:pStyle w:val="16"/>
        <w:numPr>
          <w:ilvl w:val="0"/>
          <w:numId w:val="1"/>
        </w:numPr>
        <w:spacing w:before="60" w:after="60"/>
      </w:pPr>
      <w:r>
        <w:rPr>
          <w:rFonts w:ascii="Arial" w:hAnsi="Arial" w:eastAsia="Arial" w:cs="Arial"/>
          <w:b/>
          <w:bCs/>
          <w:sz w:val="22"/>
          <w:szCs w:val="22"/>
        </w:rPr>
        <w:t>限制 guidance 信息暴露：</w:t>
      </w:r>
      <w:r>
        <w:rPr>
          <w:rFonts w:ascii="Arial" w:hAnsi="Arial" w:eastAsia="Arial" w:cs="Arial"/>
          <w:sz w:val="22"/>
          <w:szCs w:val="22"/>
        </w:rPr>
        <w:t>API 场景下不返回无条件分支的中间结果。</w:t>
      </w:r>
    </w:p>
    <w:p w14:paraId="66D7F993">
      <w:pPr>
        <w:spacing w:before="80" w:after="80"/>
      </w:pPr>
    </w:p>
    <w:p w14:paraId="73E85D2C">
      <w:pPr>
        <w:pStyle w:val="3"/>
        <w:spacing w:before="280" w:after="120"/>
      </w:pPr>
      <w:r>
        <w:rPr>
          <w:rFonts w:ascii="Arial" w:hAnsi="Arial" w:eastAsia="Arial" w:cs="Arial"/>
          <w:b/>
          <w:bCs/>
          <w:color w:val="2E5FA3"/>
          <w:sz w:val="26"/>
          <w:szCs w:val="26"/>
        </w:rPr>
        <w:t>3.3  DDIM Inversion 潜变量泄露</w:t>
      </w:r>
    </w:p>
    <w:p w14:paraId="312AA296">
      <w:pPr>
        <w:spacing w:before="80" w:after="80"/>
      </w:pPr>
      <w:r>
        <w:rPr>
          <w:rFonts w:ascii="Arial" w:hAnsi="Arial" w:eastAsia="Arial" w:cs="Arial"/>
          <w:b/>
          <w:bCs/>
          <w:sz w:val="22"/>
          <w:szCs w:val="22"/>
        </w:rPr>
        <w:t>泄露机制：</w:t>
      </w:r>
      <w:r>
        <w:rPr>
          <w:rFonts w:ascii="Arial" w:hAnsi="Arial" w:eastAsia="Arial" w:cs="Arial"/>
          <w:sz w:val="22"/>
          <w:szCs w:val="22"/>
        </w:rPr>
        <w:t>DDIM Inversion 可以将一张图像确定性地映射回噪声空间的潜编码 x_T。成员样本的潜编码与模型训练时所见的噪声分布更匹配，其重建误差（从 x_T 重新去噪后与原图的 L2 距离）更小，可作为精准的成员信号。</w:t>
      </w:r>
    </w:p>
    <w:p w14:paraId="0C1D0B38">
      <w:pPr>
        <w:spacing w:before="80" w:after="80"/>
      </w:pPr>
      <w:r>
        <w:rPr>
          <w:rFonts w:ascii="Arial" w:hAnsi="Arial" w:eastAsia="Arial" w:cs="Arial"/>
          <w:b/>
          <w:bCs/>
          <w:sz w:val="22"/>
          <w:szCs w:val="22"/>
        </w:rPr>
        <w:t>防御思路：</w:t>
      </w:r>
    </w:p>
    <w:p w14:paraId="0DC9943E">
      <w:pPr>
        <w:pStyle w:val="16"/>
        <w:numPr>
          <w:ilvl w:val="0"/>
          <w:numId w:val="1"/>
        </w:numPr>
        <w:spacing w:before="60" w:after="60"/>
      </w:pPr>
      <w:r>
        <w:rPr>
          <w:rFonts w:ascii="Arial" w:hAnsi="Arial" w:eastAsia="Arial" w:cs="Arial"/>
          <w:b/>
          <w:bCs/>
          <w:sz w:val="22"/>
          <w:szCs w:val="22"/>
        </w:rPr>
        <w:t>潜空间随机化：</w:t>
      </w:r>
      <w:r>
        <w:rPr>
          <w:rFonts w:ascii="Arial" w:hAnsi="Arial" w:eastAsia="Arial" w:cs="Arial"/>
          <w:sz w:val="22"/>
          <w:szCs w:val="22"/>
        </w:rPr>
        <w:t>在 DDIM Inversion 路径上加入随机偏移，使成员/非成员的潜编码分布趋于一致；</w:t>
      </w:r>
    </w:p>
    <w:p w14:paraId="1842997A">
      <w:pPr>
        <w:pStyle w:val="16"/>
        <w:numPr>
          <w:ilvl w:val="0"/>
          <w:numId w:val="1"/>
        </w:numPr>
        <w:spacing w:before="60" w:after="60"/>
      </w:pPr>
      <w:r>
        <w:rPr>
          <w:rFonts w:ascii="Arial" w:hAnsi="Arial" w:eastAsia="Arial" w:cs="Arial"/>
          <w:b/>
          <w:bCs/>
          <w:sz w:val="22"/>
          <w:szCs w:val="22"/>
        </w:rPr>
        <w:t>禁止确定性 Inversion API：</w:t>
      </w:r>
      <w:r>
        <w:rPr>
          <w:rFonts w:ascii="Arial" w:hAnsi="Arial" w:eastAsia="Arial" w:cs="Arial"/>
          <w:sz w:val="22"/>
          <w:szCs w:val="22"/>
        </w:rPr>
        <w:t>在部署时只提供随机采样接口，不提供确定性 inversion 接口；</w:t>
      </w:r>
    </w:p>
    <w:p w14:paraId="5B4E45FD">
      <w:pPr>
        <w:pStyle w:val="16"/>
        <w:numPr>
          <w:ilvl w:val="0"/>
          <w:numId w:val="1"/>
        </w:numPr>
        <w:spacing w:before="60" w:after="60"/>
      </w:pPr>
      <w:r>
        <w:rPr>
          <w:rFonts w:ascii="Arial" w:hAnsi="Arial" w:eastAsia="Arial" w:cs="Arial"/>
          <w:b/>
          <w:bCs/>
          <w:sz w:val="22"/>
          <w:szCs w:val="22"/>
        </w:rPr>
        <w:t>潜编码差分隐私扰动：</w:t>
      </w:r>
      <w:r>
        <w:rPr>
          <w:rFonts w:ascii="Arial" w:hAnsi="Arial" w:eastAsia="Arial" w:cs="Arial"/>
          <w:sz w:val="22"/>
          <w:szCs w:val="22"/>
        </w:rPr>
        <w:t>在潜空间操作上施加 DP 噪声。</w:t>
      </w:r>
    </w:p>
    <w:p w14:paraId="04ECC498">
      <w:pPr>
        <w:spacing w:before="160" w:after="80"/>
      </w:pPr>
    </w:p>
    <w:p w14:paraId="7009CB73">
      <w:pPr>
        <w:pStyle w:val="2"/>
        <w:spacing w:before="360" w:after="180"/>
      </w:pPr>
      <w:r>
        <w:rPr>
          <w:rFonts w:ascii="Arial" w:hAnsi="Arial" w:eastAsia="Arial" w:cs="Arial"/>
          <w:b/>
          <w:bCs/>
          <w:color w:val="1F3864"/>
          <w:sz w:val="32"/>
          <w:szCs w:val="32"/>
        </w:rPr>
        <w:t>四、三维威胁模型下的防御方案（核心创新点二）</w:t>
      </w:r>
    </w:p>
    <w:p w14:paraId="13C5FE88">
      <w:pPr>
        <w:spacing w:before="80" w:after="120"/>
      </w:pPr>
      <w:r>
        <w:rPr>
          <w:rFonts w:ascii="Arial" w:hAnsi="Arial" w:eastAsia="Arial" w:cs="Arial"/>
          <w:sz w:val="22"/>
          <w:szCs w:val="22"/>
        </w:rPr>
        <w:t>本工作的第二个核心创新是：针对三种威胁模型分别设计专用防御机制，并在统一评估框架下进行比较分析。以下为每种设定下的防御技术路线。</w:t>
      </w:r>
    </w:p>
    <w:p w14:paraId="17DEF5F3">
      <w:pPr>
        <w:spacing w:before="80" w:after="80"/>
      </w:pPr>
    </w:p>
    <w:p w14:paraId="5924A326">
      <w:pPr>
        <w:pStyle w:val="3"/>
        <w:spacing w:before="280" w:after="120"/>
      </w:pPr>
      <w:r>
        <w:rPr>
          <w:rFonts w:ascii="Arial" w:hAnsi="Arial" w:eastAsia="Arial" w:cs="Arial"/>
          <w:b/>
          <w:bCs/>
          <w:color w:val="2E5FA3"/>
          <w:sz w:val="26"/>
          <w:szCs w:val="26"/>
        </w:rPr>
        <w:t>4.1  黑盒防御：基于输出端的信号截断</w:t>
      </w:r>
    </w:p>
    <w:p w14:paraId="78CE642A">
      <w:pPr>
        <w:spacing w:before="80" w:after="120"/>
      </w:pPr>
      <w:r>
        <w:rPr>
          <w:rFonts w:ascii="Arial" w:hAnsi="Arial" w:eastAsia="Arial" w:cs="Arial"/>
          <w:sz w:val="22"/>
          <w:szCs w:val="22"/>
        </w:rPr>
        <w:t>黑盒攻击者只能观测模型输出，防御的目标是让成员/非成员的可观测输出分布无法被区分。</w:t>
      </w:r>
    </w:p>
    <w:p w14:paraId="372787C7">
      <w:pPr>
        <w:spacing w:before="60" w:after="80"/>
      </w:pPr>
    </w:p>
    <w:p w14:paraId="298B0925">
      <w:pPr>
        <w:pStyle w:val="4"/>
        <w:spacing w:before="200" w:after="100"/>
      </w:pPr>
      <w:r>
        <w:rPr>
          <w:rFonts w:ascii="Arial" w:hAnsi="Arial" w:eastAsia="Arial" w:cs="Arial"/>
          <w:b/>
          <w:bCs/>
          <w:color w:val="2E75B6"/>
          <w:sz w:val="24"/>
          <w:szCs w:val="24"/>
        </w:rPr>
        <w:t>方法 B-1：输出概率平滑（Output Probability Smoothing）</w:t>
      </w:r>
    </w:p>
    <w:p w14:paraId="7046B339">
      <w:pPr>
        <w:spacing w:before="80" w:after="80"/>
      </w:pPr>
      <w:r>
        <w:rPr>
          <w:rFonts w:ascii="Arial" w:hAnsi="Arial" w:eastAsia="Arial" w:cs="Arial"/>
          <w:b/>
          <w:bCs/>
          <w:sz w:val="22"/>
          <w:szCs w:val="22"/>
        </w:rPr>
        <w:t>原理：</w:t>
      </w:r>
      <w:r>
        <w:rPr>
          <w:rFonts w:ascii="Arial" w:hAnsi="Arial" w:eastAsia="Arial" w:cs="Arial"/>
          <w:sz w:val="22"/>
          <w:szCs w:val="22"/>
        </w:rPr>
        <w:t>对模型返回的损失/概率值施加随机化，使攻击者无法通过统计输出来判断成员身份。具体可使用拉普拉斯机制（Laplace Mechanism）或高斯机制（Gaussian Mechanism）对输出值加噪。</w:t>
      </w:r>
    </w:p>
    <w:p w14:paraId="27A550DC">
      <w:pPr>
        <w:spacing w:before="80" w:after="80"/>
      </w:pPr>
      <w:r>
        <w:rPr>
          <w:rFonts w:ascii="Arial" w:hAnsi="Arial" w:eastAsia="Arial" w:cs="Arial"/>
          <w:b/>
          <w:bCs/>
          <w:sz w:val="22"/>
          <w:szCs w:val="22"/>
        </w:rPr>
        <w:t>实现：</w:t>
      </w:r>
      <w:r>
        <w:rPr>
          <w:rFonts w:ascii="Arial" w:hAnsi="Arial" w:eastAsia="Arial" w:cs="Arial"/>
          <w:sz w:val="22"/>
          <w:szCs w:val="22"/>
        </w:rPr>
        <w:t>在推理阶段，对最终损失 L 加入噪声：L_pub = L + Lap(0, b)，其中 b 根据 DP 灵敏度和目标 ε 确定。</w:t>
      </w:r>
    </w:p>
    <w:p w14:paraId="2C3C5CBC">
      <w:pPr>
        <w:spacing w:before="80" w:after="80"/>
      </w:pPr>
      <w:r>
        <w:rPr>
          <w:rFonts w:ascii="Arial" w:hAnsi="Arial" w:eastAsia="Arial" w:cs="Arial"/>
          <w:b/>
          <w:bCs/>
          <w:sz w:val="22"/>
          <w:szCs w:val="22"/>
        </w:rPr>
        <w:t>优势：</w:t>
      </w:r>
      <w:r>
        <w:rPr>
          <w:rFonts w:ascii="Arial" w:hAnsi="Arial" w:eastAsia="Arial" w:cs="Arial"/>
          <w:sz w:val="22"/>
          <w:szCs w:val="22"/>
        </w:rPr>
        <w:t>与模型训练无关，可作为即插即用的后处理防御，对生成图像质量影响极小。</w:t>
      </w:r>
    </w:p>
    <w:p w14:paraId="77A16027">
      <w:pPr>
        <w:spacing w:before="80" w:after="80"/>
      </w:pPr>
      <w:r>
        <w:rPr>
          <w:rFonts w:ascii="Arial" w:hAnsi="Arial" w:eastAsia="Arial" w:cs="Arial"/>
          <w:b/>
          <w:bCs/>
          <w:sz w:val="22"/>
          <w:szCs w:val="22"/>
        </w:rPr>
        <w:t>代价：</w:t>
      </w:r>
      <w:r>
        <w:rPr>
          <w:rFonts w:ascii="Arial" w:hAnsi="Arial" w:eastAsia="Arial" w:cs="Arial"/>
          <w:sz w:val="22"/>
          <w:szCs w:val="22"/>
        </w:rPr>
        <w:t>需要校准噪声强度，过大影响输出可信度。</w:t>
      </w:r>
    </w:p>
    <w:p w14:paraId="49A43CAD">
      <w:pPr>
        <w:spacing w:before="80" w:after="80"/>
      </w:pPr>
    </w:p>
    <w:p w14:paraId="3FAEA92D">
      <w:pPr>
        <w:pStyle w:val="4"/>
        <w:spacing w:before="200" w:after="100"/>
      </w:pPr>
      <w:r>
        <w:rPr>
          <w:rFonts w:ascii="Arial" w:hAnsi="Arial" w:eastAsia="Arial" w:cs="Arial"/>
          <w:b/>
          <w:bCs/>
          <w:color w:val="2E75B6"/>
          <w:sz w:val="24"/>
          <w:szCs w:val="24"/>
        </w:rPr>
        <w:t>方法 B-2：查询次数限制与速率控制</w:t>
      </w:r>
    </w:p>
    <w:p w14:paraId="7E1BB326">
      <w:pPr>
        <w:spacing w:before="80" w:after="80"/>
      </w:pPr>
      <w:r>
        <w:rPr>
          <w:rFonts w:ascii="Arial" w:hAnsi="Arial" w:eastAsia="Arial" w:cs="Arial"/>
          <w:b/>
          <w:bCs/>
          <w:sz w:val="22"/>
          <w:szCs w:val="22"/>
        </w:rPr>
        <w:t>原理：</w:t>
      </w:r>
      <w:r>
        <w:rPr>
          <w:rFonts w:ascii="Arial" w:hAnsi="Arial" w:eastAsia="Arial" w:cs="Arial"/>
          <w:sz w:val="22"/>
          <w:szCs w:val="22"/>
        </w:rPr>
        <w:t>MIA 攻击通常需要对同一样本进行多次查询以降低估计方差。通过限制每个 IP/用户对同一内容的查询频率，可以显著提高攻击成本。</w:t>
      </w:r>
    </w:p>
    <w:p w14:paraId="10D6B254">
      <w:pPr>
        <w:spacing w:before="80" w:after="80"/>
      </w:pPr>
      <w:r>
        <w:rPr>
          <w:rFonts w:ascii="Arial" w:hAnsi="Arial" w:eastAsia="Arial" w:cs="Arial"/>
          <w:b/>
          <w:bCs/>
          <w:sz w:val="22"/>
          <w:szCs w:val="22"/>
        </w:rPr>
        <w:t>实现：</w:t>
      </w:r>
      <w:r>
        <w:rPr>
          <w:rFonts w:ascii="Arial" w:hAnsi="Arial" w:eastAsia="Arial" w:cs="Arial"/>
          <w:sz w:val="22"/>
          <w:szCs w:val="22"/>
        </w:rPr>
        <w:t>基于内容哈希（感知哈希 pHash）追踪相似查询，超过阈值后拒绝服务或返回降质输出。</w:t>
      </w:r>
    </w:p>
    <w:p w14:paraId="4249676B">
      <w:pPr>
        <w:spacing w:before="80" w:after="80"/>
      </w:pPr>
      <w:r>
        <w:rPr>
          <w:rFonts w:ascii="Arial" w:hAnsi="Arial" w:eastAsia="Arial" w:cs="Arial"/>
          <w:b/>
          <w:bCs/>
          <w:sz w:val="22"/>
          <w:szCs w:val="22"/>
        </w:rPr>
        <w:t>优势：</w:t>
      </w:r>
      <w:r>
        <w:rPr>
          <w:rFonts w:ascii="Arial" w:hAnsi="Arial" w:eastAsia="Arial" w:cs="Arial"/>
          <w:sz w:val="22"/>
          <w:szCs w:val="22"/>
        </w:rPr>
        <w:t>不影响正常用户体验，计算成本低。</w:t>
      </w:r>
    </w:p>
    <w:p w14:paraId="1CE8DD66">
      <w:pPr>
        <w:spacing w:before="80" w:after="80"/>
      </w:pPr>
    </w:p>
    <w:p w14:paraId="2E77E3F8">
      <w:pPr>
        <w:pStyle w:val="3"/>
        <w:spacing w:before="280" w:after="120"/>
      </w:pPr>
      <w:r>
        <w:rPr>
          <w:rFonts w:ascii="Arial" w:hAnsi="Arial" w:eastAsia="Arial" w:cs="Arial"/>
          <w:b/>
          <w:bCs/>
          <w:color w:val="2E5FA3"/>
          <w:sz w:val="26"/>
          <w:szCs w:val="26"/>
        </w:rPr>
        <w:t>4.2  白盒防御：基于训练阶段的信号抑制</w:t>
      </w:r>
    </w:p>
    <w:p w14:paraId="381A4AB0">
      <w:pPr>
        <w:spacing w:before="80" w:after="120"/>
      </w:pPr>
      <w:r>
        <w:rPr>
          <w:rFonts w:ascii="Arial" w:hAnsi="Arial" w:eastAsia="Arial" w:cs="Arial"/>
          <w:sz w:val="22"/>
          <w:szCs w:val="22"/>
        </w:rPr>
        <w:t>白盒攻击者具有完整的模型访问权限，防御必须从训练阶段根本上抑制成员信号的形成。</w:t>
      </w:r>
    </w:p>
    <w:p w14:paraId="2713862A">
      <w:pPr>
        <w:spacing w:before="60" w:after="80"/>
      </w:pPr>
    </w:p>
    <w:p w14:paraId="4ABEF565">
      <w:pPr>
        <w:pStyle w:val="4"/>
        <w:spacing w:before="200" w:after="100"/>
      </w:pPr>
      <w:r>
        <w:rPr>
          <w:rFonts w:ascii="Arial" w:hAnsi="Arial" w:eastAsia="Arial" w:cs="Arial"/>
          <w:b/>
          <w:bCs/>
          <w:color w:val="2E75B6"/>
          <w:sz w:val="24"/>
          <w:szCs w:val="24"/>
        </w:rPr>
        <w:t>方法 W-1：扩散模型专用 DP-SGD（Diffusion-DP）</w:t>
      </w:r>
    </w:p>
    <w:p w14:paraId="48D99A60">
      <w:pPr>
        <w:spacing w:before="80" w:after="80"/>
      </w:pPr>
      <w:r>
        <w:rPr>
          <w:rFonts w:ascii="Arial" w:hAnsi="Arial" w:eastAsia="Arial" w:cs="Arial"/>
          <w:b/>
          <w:bCs/>
          <w:sz w:val="22"/>
          <w:szCs w:val="22"/>
        </w:rPr>
        <w:t>原理：</w:t>
      </w:r>
      <w:r>
        <w:rPr>
          <w:rFonts w:ascii="Arial" w:hAnsi="Arial" w:eastAsia="Arial" w:cs="Arial"/>
          <w:sz w:val="22"/>
          <w:szCs w:val="22"/>
        </w:rPr>
        <w:t>差分隐私随机梯度下降（DP-SGD）通过梯度裁剪和噪声注入，从根源上限制单个训练样本对模型参数的影响，使得成员/非成员的梯度信号趋于一致。</w:t>
      </w:r>
    </w:p>
    <w:p w14:paraId="6C466601">
      <w:pPr>
        <w:spacing w:before="80" w:after="80"/>
      </w:pPr>
      <w:r>
        <w:rPr>
          <w:rFonts w:ascii="Arial" w:hAnsi="Arial" w:eastAsia="Arial" w:cs="Arial"/>
          <w:b/>
          <w:bCs/>
          <w:sz w:val="22"/>
          <w:szCs w:val="22"/>
        </w:rPr>
        <w:t>关键挑战：</w:t>
      </w:r>
      <w:r>
        <w:rPr>
          <w:rFonts w:ascii="Arial" w:hAnsi="Arial" w:eastAsia="Arial" w:cs="Arial"/>
          <w:sz w:val="22"/>
          <w:szCs w:val="22"/>
        </w:rPr>
        <w:t>标准 DP-SGD 在扩散模型上的计算开销极大（每步都需要 per-sample gradient），且隐私预算 ε 与生成质量（FID）之间存在严重权衡。</w:t>
      </w:r>
    </w:p>
    <w:p w14:paraId="2EAAA176">
      <w:pPr>
        <w:spacing w:before="80" w:after="80"/>
      </w:pPr>
      <w:r>
        <w:rPr>
          <w:rFonts w:ascii="Arial" w:hAnsi="Arial" w:eastAsia="Arial" w:cs="Arial"/>
          <w:b/>
          <w:bCs/>
          <w:sz w:val="22"/>
          <w:szCs w:val="22"/>
        </w:rPr>
        <w:t>创新点：</w:t>
      </w:r>
      <w:r>
        <w:rPr>
          <w:rFonts w:ascii="Arial" w:hAnsi="Arial" w:eastAsia="Arial" w:cs="Arial"/>
          <w:sz w:val="22"/>
          <w:szCs w:val="22"/>
        </w:rPr>
        <w:t>针对扩散模型的多步去噪结构，设计步骤自适应的梯度裁剪策略：对早期噪声步骤（t 接近 T，信号弱）使用更宽松的裁剪阈值，对后期精细化步骤（t 接近 0，成员信号强）使用更严格的裁剪阈值，在保持生成质量的前提下最大化隐私保护。</w:t>
      </w:r>
    </w:p>
    <w:p w14:paraId="1C67ADA4">
      <w:pPr>
        <w:spacing w:before="80" w:after="80"/>
      </w:pPr>
      <w:r>
        <w:rPr>
          <w:rFonts w:ascii="Arial" w:hAnsi="Arial" w:eastAsia="Arial" w:cs="Arial"/>
          <w:b/>
          <w:bCs/>
          <w:sz w:val="22"/>
          <w:szCs w:val="22"/>
        </w:rPr>
        <w:t>目标：</w:t>
      </w:r>
      <w:r>
        <w:rPr>
          <w:rFonts w:ascii="Arial" w:hAnsi="Arial" w:eastAsia="Arial" w:cs="Arial"/>
          <w:sz w:val="22"/>
          <w:szCs w:val="22"/>
        </w:rPr>
        <w:t>在 ε ≤ 8 的隐私预算下，FID 降幅控制在 15% 以内。</w:t>
      </w:r>
    </w:p>
    <w:p w14:paraId="01ACFD36">
      <w:pPr>
        <w:spacing w:before="80" w:after="80"/>
      </w:pPr>
    </w:p>
    <w:p w14:paraId="33B298CE">
      <w:pPr>
        <w:pStyle w:val="4"/>
        <w:spacing w:before="200" w:after="100"/>
      </w:pPr>
      <w:r>
        <w:rPr>
          <w:rFonts w:ascii="Arial" w:hAnsi="Arial" w:eastAsia="Arial" w:cs="Arial"/>
          <w:b/>
          <w:bCs/>
          <w:color w:val="2E75B6"/>
          <w:sz w:val="24"/>
          <w:szCs w:val="24"/>
        </w:rPr>
        <w:t>方法 W-2：成员信号对抗训练（Adversarial Membership Signal Suppression）</w:t>
      </w:r>
    </w:p>
    <w:p w14:paraId="33738486">
      <w:pPr>
        <w:spacing w:before="80" w:after="80"/>
      </w:pPr>
      <w:r>
        <w:rPr>
          <w:rFonts w:ascii="Arial" w:hAnsi="Arial" w:eastAsia="Arial" w:cs="Arial"/>
          <w:b/>
          <w:bCs/>
          <w:sz w:val="22"/>
          <w:szCs w:val="22"/>
        </w:rPr>
        <w:t>原理：</w:t>
      </w:r>
      <w:r>
        <w:rPr>
          <w:rFonts w:ascii="Arial" w:hAnsi="Arial" w:eastAsia="Arial" w:cs="Arial"/>
          <w:sz w:val="22"/>
          <w:szCs w:val="22"/>
        </w:rPr>
        <w:t>在训练目标中加入对抗正则化项，使模型对成员/非成员样本的损失分布尽量接近，直接攻击 MIA 的核心依赖假设。</w:t>
      </w:r>
    </w:p>
    <w:p w14:paraId="6382419C">
      <w:pPr>
        <w:spacing w:before="80" w:after="80"/>
      </w:pPr>
      <w:r>
        <w:rPr>
          <w:rFonts w:ascii="Arial" w:hAnsi="Arial" w:eastAsia="Arial" w:cs="Arial"/>
          <w:b/>
          <w:bCs/>
          <w:sz w:val="22"/>
          <w:szCs w:val="22"/>
        </w:rPr>
        <w:t>实现：</w:t>
      </w:r>
      <w:r>
        <w:rPr>
          <w:rFonts w:ascii="Arial" w:hAnsi="Arial" w:eastAsia="Arial" w:cs="Arial"/>
          <w:sz w:val="22"/>
          <w:szCs w:val="22"/>
        </w:rPr>
        <w:t>在原始去噪损失 L_denoise 的基础上，加入成员一致性正则项：L_total = L_denoise + λ · L_member_align，其中 L_member_align = max(0, L_member_mean - L_nonmember_mean + margin)。</w:t>
      </w:r>
    </w:p>
    <w:p w14:paraId="3FC90EC9">
      <w:pPr>
        <w:spacing w:before="80" w:after="80"/>
      </w:pPr>
      <w:r>
        <w:rPr>
          <w:rFonts w:ascii="Arial" w:hAnsi="Arial" w:eastAsia="Arial" w:cs="Arial"/>
          <w:b/>
          <w:bCs/>
          <w:sz w:val="22"/>
          <w:szCs w:val="22"/>
        </w:rPr>
        <w:t>优势：</w:t>
      </w:r>
      <w:r>
        <w:rPr>
          <w:rFonts w:ascii="Arial" w:hAnsi="Arial" w:eastAsia="Arial" w:cs="Arial"/>
          <w:sz w:val="22"/>
          <w:szCs w:val="22"/>
        </w:rPr>
        <w:t>直接针对 MIA 的核心弱点，防御效果在白盒设定下最强。</w:t>
      </w:r>
    </w:p>
    <w:p w14:paraId="5F0AA369">
      <w:pPr>
        <w:spacing w:before="80" w:after="80"/>
      </w:pPr>
    </w:p>
    <w:p w14:paraId="02D86BF4">
      <w:pPr>
        <w:pStyle w:val="3"/>
        <w:spacing w:before="280" w:after="120"/>
      </w:pPr>
      <w:r>
        <w:rPr>
          <w:rFonts w:ascii="Arial" w:hAnsi="Arial" w:eastAsia="Arial" w:cs="Arial"/>
          <w:b/>
          <w:bCs/>
          <w:color w:val="2E5FA3"/>
          <w:sz w:val="26"/>
          <w:szCs w:val="26"/>
        </w:rPr>
        <w:t>4.3  灰盒防御：基于迁移性阻断的架构级防御</w:t>
      </w:r>
    </w:p>
    <w:p w14:paraId="6A711C38">
      <w:pPr>
        <w:spacing w:before="80" w:after="120"/>
      </w:pPr>
      <w:r>
        <w:rPr>
          <w:rFonts w:ascii="Arial" w:hAnsi="Arial" w:eastAsia="Arial" w:cs="Arial"/>
          <w:sz w:val="22"/>
          <w:szCs w:val="22"/>
        </w:rPr>
        <w:t>灰盒攻击最常见的形式是影子模型攻击。攻击者利用已知架构训练影子模型，将影子模型的成员信号迁移攻击目标模型。防御的核心是降低成员信号在模型间的可迁移性。</w:t>
      </w:r>
    </w:p>
    <w:p w14:paraId="7555E29B">
      <w:pPr>
        <w:spacing w:before="60" w:after="80"/>
      </w:pPr>
    </w:p>
    <w:p w14:paraId="112B600E">
      <w:pPr>
        <w:pStyle w:val="4"/>
        <w:spacing w:before="200" w:after="100"/>
      </w:pPr>
      <w:r>
        <w:rPr>
          <w:rFonts w:ascii="Arial" w:hAnsi="Arial" w:eastAsia="Arial" w:cs="Arial"/>
          <w:b/>
          <w:bCs/>
          <w:color w:val="2E75B6"/>
          <w:sz w:val="24"/>
          <w:szCs w:val="24"/>
        </w:rPr>
        <w:t>方法 G-1：推理时架构随机化（Inference-time Architecture Randomization）</w:t>
      </w:r>
    </w:p>
    <w:p w14:paraId="4553478E">
      <w:pPr>
        <w:spacing w:before="80" w:after="80"/>
      </w:pPr>
      <w:r>
        <w:rPr>
          <w:rFonts w:ascii="Arial" w:hAnsi="Arial" w:eastAsia="Arial" w:cs="Arial"/>
          <w:b/>
          <w:bCs/>
          <w:sz w:val="22"/>
          <w:szCs w:val="22"/>
        </w:rPr>
        <w:t>原理：</w:t>
      </w:r>
      <w:r>
        <w:rPr>
          <w:rFonts w:ascii="Arial" w:hAnsi="Arial" w:eastAsia="Arial" w:cs="Arial"/>
          <w:sz w:val="22"/>
          <w:szCs w:val="22"/>
        </w:rPr>
        <w:t>在推理阶段随机化部分网络结构（如随机 dropout 模式、随机选取 UNet 跳接连接），使攻击者用影子模型训练的元分类器无法对齐到目标模型的输出分布。</w:t>
      </w:r>
    </w:p>
    <w:p w14:paraId="73AD10C9">
      <w:pPr>
        <w:spacing w:before="80" w:after="80"/>
      </w:pPr>
      <w:r>
        <w:rPr>
          <w:rFonts w:ascii="Arial" w:hAnsi="Arial" w:eastAsia="Arial" w:cs="Arial"/>
          <w:b/>
          <w:bCs/>
          <w:sz w:val="22"/>
          <w:szCs w:val="22"/>
        </w:rPr>
        <w:t>实现：</w:t>
      </w:r>
      <w:r>
        <w:rPr>
          <w:rFonts w:ascii="Arial" w:hAnsi="Arial" w:eastAsia="Arial" w:cs="Arial"/>
          <w:sz w:val="22"/>
          <w:szCs w:val="22"/>
        </w:rPr>
        <w:t>维护多个随机种子配置，每次推理时随机选取，对外接口不暴露当前配置。</w:t>
      </w:r>
    </w:p>
    <w:p w14:paraId="7BAACE1B">
      <w:pPr>
        <w:spacing w:before="80" w:after="80"/>
      </w:pPr>
      <w:r>
        <w:rPr>
          <w:rFonts w:ascii="Arial" w:hAnsi="Arial" w:eastAsia="Arial" w:cs="Arial"/>
          <w:b/>
          <w:bCs/>
          <w:sz w:val="22"/>
          <w:szCs w:val="22"/>
        </w:rPr>
        <w:t>优势：</w:t>
      </w:r>
      <w:r>
        <w:rPr>
          <w:rFonts w:ascii="Arial" w:hAnsi="Arial" w:eastAsia="Arial" w:cs="Arial"/>
          <w:sz w:val="22"/>
          <w:szCs w:val="22"/>
        </w:rPr>
        <w:t>无需重新训练模型，部署灵活。</w:t>
      </w:r>
    </w:p>
    <w:p w14:paraId="124340FA">
      <w:pPr>
        <w:spacing w:before="80" w:after="80"/>
      </w:pPr>
    </w:p>
    <w:p w14:paraId="13B37417">
      <w:pPr>
        <w:pStyle w:val="4"/>
        <w:spacing w:before="200" w:after="100"/>
      </w:pPr>
      <w:r>
        <w:rPr>
          <w:rFonts w:ascii="Arial" w:hAnsi="Arial" w:eastAsia="Arial" w:cs="Arial"/>
          <w:b/>
          <w:bCs/>
          <w:color w:val="2E75B6"/>
          <w:sz w:val="24"/>
          <w:szCs w:val="24"/>
        </w:rPr>
        <w:t>方法 G-2：知识蒸馏代理模型（Knowledge Distillation Proxy）</w:t>
      </w:r>
    </w:p>
    <w:p w14:paraId="215B1E4A">
      <w:pPr>
        <w:spacing w:before="80" w:after="80"/>
      </w:pPr>
      <w:r>
        <w:rPr>
          <w:rFonts w:ascii="Arial" w:hAnsi="Arial" w:eastAsia="Arial" w:cs="Arial"/>
          <w:b/>
          <w:bCs/>
          <w:sz w:val="22"/>
          <w:szCs w:val="22"/>
        </w:rPr>
        <w:t>原理：</w:t>
      </w:r>
      <w:r>
        <w:rPr>
          <w:rFonts w:ascii="Arial" w:hAnsi="Arial" w:eastAsia="Arial" w:cs="Arial"/>
          <w:sz w:val="22"/>
          <w:szCs w:val="22"/>
        </w:rPr>
        <w:t>对外部署的不是原始训练模型，而是以训练模型为教师、在公开数据上蒸馏出的学生模型。学生模型保留了生成能力，但丢失了精细的成员记忆，大幅削减影子模型攻击的迁移效果。</w:t>
      </w:r>
    </w:p>
    <w:p w14:paraId="1E24B6AC">
      <w:pPr>
        <w:spacing w:before="80" w:after="80"/>
      </w:pPr>
      <w:r>
        <w:rPr>
          <w:rFonts w:ascii="Arial" w:hAnsi="Arial" w:eastAsia="Arial" w:cs="Arial"/>
          <w:b/>
          <w:bCs/>
          <w:sz w:val="22"/>
          <w:szCs w:val="22"/>
        </w:rPr>
        <w:t>实现：</w:t>
      </w:r>
      <w:r>
        <w:rPr>
          <w:rFonts w:ascii="Arial" w:hAnsi="Arial" w:eastAsia="Arial" w:cs="Arial"/>
          <w:sz w:val="22"/>
          <w:szCs w:val="22"/>
        </w:rPr>
        <w:t>以训练模型的输出分布为软标签，在非训练数据上训练同结构学生模型（同架构有助于保留生成质量）。</w:t>
      </w:r>
    </w:p>
    <w:p w14:paraId="43E0AC7A">
      <w:pPr>
        <w:spacing w:before="80" w:after="80"/>
      </w:pPr>
      <w:r>
        <w:rPr>
          <w:rFonts w:ascii="Arial" w:hAnsi="Arial" w:eastAsia="Arial" w:cs="Arial"/>
          <w:b/>
          <w:bCs/>
          <w:sz w:val="22"/>
          <w:szCs w:val="22"/>
        </w:rPr>
        <w:t>优势：</w:t>
      </w:r>
      <w:r>
        <w:rPr>
          <w:rFonts w:ascii="Arial" w:hAnsi="Arial" w:eastAsia="Arial" w:cs="Arial"/>
          <w:sz w:val="22"/>
          <w:szCs w:val="22"/>
        </w:rPr>
        <w:t>同时防御黑盒和灰盒攻击，且在 API 场景下不需要暴露任何内部信息。</w:t>
      </w:r>
    </w:p>
    <w:p w14:paraId="5AEA6A90">
      <w:pPr>
        <w:spacing w:before="160" w:after="80"/>
      </w:pPr>
    </w:p>
    <w:p w14:paraId="4AC76FB3">
      <w:pPr>
        <w:pStyle w:val="2"/>
        <w:spacing w:before="360" w:after="180"/>
      </w:pPr>
      <w:r>
        <w:rPr>
          <w:rFonts w:ascii="Arial" w:hAnsi="Arial" w:eastAsia="Arial" w:cs="Arial"/>
          <w:b/>
          <w:bCs/>
          <w:color w:val="1F3864"/>
          <w:sz w:val="32"/>
          <w:szCs w:val="32"/>
        </w:rPr>
        <w:t>五、统一评估框架（核心创新点三）</w:t>
      </w:r>
    </w:p>
    <w:p w14:paraId="2082B654">
      <w:pPr>
        <w:spacing w:before="80" w:after="120"/>
      </w:pPr>
      <w:r>
        <w:rPr>
          <w:rFonts w:ascii="Arial" w:hAnsi="Arial" w:eastAsia="Arial" w:cs="Arial"/>
          <w:sz w:val="22"/>
          <w:szCs w:val="22"/>
        </w:rPr>
        <w:t>本工作的第三个创新点是构建跨三种威胁模型的统一评估基准，使不同防御方法的比较具有可重复性和公平性。</w:t>
      </w:r>
    </w:p>
    <w:p w14:paraId="3F72B53A">
      <w:pPr>
        <w:spacing w:before="80" w:after="80"/>
      </w:pPr>
    </w:p>
    <w:p w14:paraId="1EDC939A">
      <w:pPr>
        <w:pStyle w:val="3"/>
        <w:spacing w:before="280" w:after="120"/>
      </w:pPr>
      <w:r>
        <w:rPr>
          <w:rFonts w:ascii="Arial" w:hAnsi="Arial" w:eastAsia="Arial" w:cs="Arial"/>
          <w:b/>
          <w:bCs/>
          <w:color w:val="2E5FA3"/>
          <w:sz w:val="26"/>
          <w:szCs w:val="26"/>
        </w:rPr>
        <w:t>5.1  评估指标</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880"/>
        <w:gridCol w:w="3480"/>
      </w:tblGrid>
      <w:tr w14:paraId="13C8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1BB132D8">
            <w:pPr>
              <w:jc w:val="center"/>
            </w:pPr>
            <w:r>
              <w:rPr>
                <w:rFonts w:ascii="Arial" w:hAnsi="Arial" w:eastAsia="Arial" w:cs="Arial"/>
                <w:b/>
                <w:bCs/>
                <w:color w:val="FFFFFF"/>
                <w:sz w:val="20"/>
                <w:szCs w:val="20"/>
              </w:rPr>
              <w:t>指标类别</w:t>
            </w:r>
          </w:p>
        </w:tc>
        <w:tc>
          <w:tcPr>
            <w:tcW w:w="388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59182514">
            <w:pPr>
              <w:jc w:val="center"/>
            </w:pPr>
            <w:r>
              <w:rPr>
                <w:rFonts w:ascii="Arial" w:hAnsi="Arial" w:eastAsia="Arial" w:cs="Arial"/>
                <w:b/>
                <w:bCs/>
                <w:color w:val="FFFFFF"/>
                <w:sz w:val="20"/>
                <w:szCs w:val="20"/>
              </w:rPr>
              <w:t>具体指标</w:t>
            </w:r>
          </w:p>
        </w:tc>
        <w:tc>
          <w:tcPr>
            <w:tcW w:w="348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35F88105">
            <w:pPr>
              <w:jc w:val="center"/>
            </w:pPr>
            <w:r>
              <w:rPr>
                <w:rFonts w:ascii="Arial" w:hAnsi="Arial" w:eastAsia="Arial" w:cs="Arial"/>
                <w:b/>
                <w:bCs/>
                <w:color w:val="FFFFFF"/>
                <w:sz w:val="20"/>
                <w:szCs w:val="20"/>
              </w:rPr>
              <w:t>说明</w:t>
            </w:r>
          </w:p>
        </w:tc>
      </w:tr>
      <w:tr w14:paraId="3CC9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4BFE57BC">
            <w:r>
              <w:rPr>
                <w:rFonts w:ascii="Arial" w:hAnsi="Arial" w:eastAsia="Arial" w:cs="Arial"/>
                <w:b/>
                <w:bCs/>
                <w:color w:val="1F3864"/>
                <w:sz w:val="20"/>
                <w:szCs w:val="20"/>
              </w:rPr>
              <w:t>防御效果</w:t>
            </w:r>
          </w:p>
        </w:tc>
        <w:tc>
          <w:tcPr>
            <w:tcW w:w="38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63A781B8">
            <w:pPr>
              <w:spacing w:before="0" w:after="0"/>
            </w:pPr>
            <w:r>
              <w:rPr>
                <w:rFonts w:ascii="Arial" w:hAnsi="Arial" w:eastAsia="Arial" w:cs="Arial"/>
                <w:sz w:val="20"/>
                <w:szCs w:val="20"/>
              </w:rPr>
              <w:t>攻击成功率 (ASR)</w:t>
            </w:r>
          </w:p>
          <w:p w14:paraId="3839F47E">
            <w:pPr>
              <w:spacing w:before="40" w:after="0"/>
            </w:pPr>
            <w:r>
              <w:rPr>
                <w:rFonts w:ascii="Arial" w:hAnsi="Arial" w:eastAsia="Arial" w:cs="Arial"/>
                <w:sz w:val="20"/>
                <w:szCs w:val="20"/>
              </w:rPr>
              <w:t>AUC-ROC</w:t>
            </w:r>
          </w:p>
          <w:p w14:paraId="088BF09A">
            <w:pPr>
              <w:spacing w:before="40" w:after="0"/>
            </w:pPr>
            <w:r>
              <w:rPr>
                <w:rFonts w:ascii="Arial" w:hAnsi="Arial" w:eastAsia="Arial" w:cs="Arial"/>
                <w:sz w:val="20"/>
                <w:szCs w:val="20"/>
              </w:rPr>
              <w:t>TPR@FPR=0.1%（严格标准）</w:t>
            </w:r>
          </w:p>
        </w:tc>
        <w:tc>
          <w:tcPr>
            <w:tcW w:w="34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7F93458C">
            <w:r>
              <w:rPr>
                <w:rFonts w:ascii="Arial" w:hAnsi="Arial" w:eastAsia="Arial" w:cs="Arial"/>
                <w:b w:val="0"/>
                <w:bCs w:val="0"/>
                <w:color w:val="1F1F1F"/>
                <w:sz w:val="20"/>
                <w:szCs w:val="20"/>
              </w:rPr>
              <w:t>越低越好；TPR@FPR=0.1% 是最严格的隐私评估标准（参考 Carlini 2022）</w:t>
            </w:r>
          </w:p>
        </w:tc>
      </w:tr>
      <w:tr w14:paraId="5BEE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55470833">
            <w:r>
              <w:rPr>
                <w:rFonts w:ascii="Arial" w:hAnsi="Arial" w:eastAsia="Arial" w:cs="Arial"/>
                <w:b/>
                <w:bCs/>
                <w:color w:val="1F3864"/>
                <w:sz w:val="20"/>
                <w:szCs w:val="20"/>
              </w:rPr>
              <w:t>生成质量</w:t>
            </w:r>
          </w:p>
        </w:tc>
        <w:tc>
          <w:tcPr>
            <w:tcW w:w="3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1702D0">
            <w:pPr>
              <w:spacing w:before="0" w:after="0"/>
            </w:pPr>
            <w:r>
              <w:rPr>
                <w:rFonts w:ascii="Arial" w:hAnsi="Arial" w:eastAsia="Arial" w:cs="Arial"/>
                <w:sz w:val="20"/>
                <w:szCs w:val="20"/>
              </w:rPr>
              <w:t>FID (Frechet Inception Distance)</w:t>
            </w:r>
          </w:p>
          <w:p w14:paraId="1AD92553">
            <w:pPr>
              <w:spacing w:before="40" w:after="0"/>
            </w:pPr>
            <w:r>
              <w:rPr>
                <w:rFonts w:ascii="Arial" w:hAnsi="Arial" w:eastAsia="Arial" w:cs="Arial"/>
                <w:sz w:val="20"/>
                <w:szCs w:val="20"/>
              </w:rPr>
              <w:t>IS (Inception Score)</w:t>
            </w:r>
          </w:p>
          <w:p w14:paraId="195C6B59">
            <w:pPr>
              <w:spacing w:before="40" w:after="0"/>
            </w:pPr>
            <w:r>
              <w:rPr>
                <w:rFonts w:ascii="Arial" w:hAnsi="Arial" w:eastAsia="Arial" w:cs="Arial"/>
                <w:sz w:val="20"/>
                <w:szCs w:val="20"/>
              </w:rPr>
              <w:t>LPIPS（感知相似度）</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C790B1">
            <w:r>
              <w:rPr>
                <w:rFonts w:ascii="Arial" w:hAnsi="Arial" w:eastAsia="Arial" w:cs="Arial"/>
                <w:b w:val="0"/>
                <w:bCs w:val="0"/>
                <w:color w:val="1F1F1F"/>
                <w:sz w:val="20"/>
                <w:szCs w:val="20"/>
              </w:rPr>
              <w:t>FID 越低越好；防御不应显著降低生成质量</w:t>
            </w:r>
          </w:p>
        </w:tc>
      </w:tr>
      <w:tr w14:paraId="7AC12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4B8F293E">
            <w:r>
              <w:rPr>
                <w:rFonts w:ascii="Arial" w:hAnsi="Arial" w:eastAsia="Arial" w:cs="Arial"/>
                <w:b/>
                <w:bCs/>
                <w:color w:val="1F3864"/>
                <w:sz w:val="20"/>
                <w:szCs w:val="20"/>
              </w:rPr>
              <w:t>计算开销</w:t>
            </w:r>
          </w:p>
        </w:tc>
        <w:tc>
          <w:tcPr>
            <w:tcW w:w="38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7F022D27">
            <w:pPr>
              <w:spacing w:before="0" w:after="0"/>
            </w:pPr>
            <w:r>
              <w:rPr>
                <w:rFonts w:ascii="Arial" w:hAnsi="Arial" w:eastAsia="Arial" w:cs="Arial"/>
                <w:sz w:val="20"/>
                <w:szCs w:val="20"/>
              </w:rPr>
              <w:t>训练时间开销（相对基准）</w:t>
            </w:r>
          </w:p>
          <w:p w14:paraId="3A2120C6">
            <w:pPr>
              <w:spacing w:before="40" w:after="0"/>
            </w:pPr>
            <w:r>
              <w:rPr>
                <w:rFonts w:ascii="Arial" w:hAnsi="Arial" w:eastAsia="Arial" w:cs="Arial"/>
                <w:sz w:val="20"/>
                <w:szCs w:val="20"/>
              </w:rPr>
              <w:t>推理延迟（毫秒）</w:t>
            </w:r>
          </w:p>
          <w:p w14:paraId="4D4BEC26">
            <w:pPr>
              <w:spacing w:before="40" w:after="0"/>
            </w:pPr>
            <w:r>
              <w:rPr>
                <w:rFonts w:ascii="Arial" w:hAnsi="Arial" w:eastAsia="Arial" w:cs="Arial"/>
                <w:sz w:val="20"/>
                <w:szCs w:val="20"/>
              </w:rPr>
              <w:t>GPU 显存增量</w:t>
            </w:r>
          </w:p>
        </w:tc>
        <w:tc>
          <w:tcPr>
            <w:tcW w:w="348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5E1AF863">
            <w:r>
              <w:rPr>
                <w:rFonts w:ascii="Arial" w:hAnsi="Arial" w:eastAsia="Arial" w:cs="Arial"/>
                <w:b w:val="0"/>
                <w:bCs w:val="0"/>
                <w:color w:val="1F1F1F"/>
                <w:sz w:val="20"/>
                <w:szCs w:val="20"/>
              </w:rPr>
              <w:t>评估防御的实际可部署性</w:t>
            </w:r>
          </w:p>
        </w:tc>
      </w:tr>
      <w:tr w14:paraId="4E02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3C4E0C25">
            <w:r>
              <w:rPr>
                <w:rFonts w:ascii="Arial" w:hAnsi="Arial" w:eastAsia="Arial" w:cs="Arial"/>
                <w:b/>
                <w:bCs/>
                <w:color w:val="1F3864"/>
                <w:sz w:val="20"/>
                <w:szCs w:val="20"/>
              </w:rPr>
              <w:t>自适应攻击鲁棒性</w:t>
            </w:r>
          </w:p>
        </w:tc>
        <w:tc>
          <w:tcPr>
            <w:tcW w:w="3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687172">
            <w:pPr>
              <w:spacing w:before="0" w:after="0"/>
            </w:pPr>
            <w:r>
              <w:rPr>
                <w:rFonts w:ascii="Arial" w:hAnsi="Arial" w:eastAsia="Arial" w:cs="Arial"/>
                <w:sz w:val="20"/>
                <w:szCs w:val="20"/>
              </w:rPr>
              <w:t>攻击者知道防御后的 ASR</w:t>
            </w:r>
          </w:p>
          <w:p w14:paraId="6F4EAC24">
            <w:pPr>
              <w:spacing w:before="40" w:after="0"/>
            </w:pPr>
            <w:r>
              <w:rPr>
                <w:rFonts w:ascii="Arial" w:hAnsi="Arial" w:eastAsia="Arial" w:cs="Arial"/>
                <w:sz w:val="20"/>
                <w:szCs w:val="20"/>
              </w:rPr>
              <w:t>最强自适应攻击 ASR</w:t>
            </w:r>
          </w:p>
        </w:tc>
        <w:tc>
          <w:tcPr>
            <w:tcW w:w="3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D18610">
            <w:r>
              <w:rPr>
                <w:rFonts w:ascii="Arial" w:hAnsi="Arial" w:eastAsia="Arial" w:cs="Arial"/>
                <w:b w:val="0"/>
                <w:bCs w:val="0"/>
                <w:color w:val="1F1F1F"/>
                <w:sz w:val="20"/>
                <w:szCs w:val="20"/>
              </w:rPr>
              <w:t>防御必须在攻击者完全知晓防御机制的情况下仍然有效</w:t>
            </w:r>
          </w:p>
        </w:tc>
      </w:tr>
    </w:tbl>
    <w:p w14:paraId="365B35B1">
      <w:pPr>
        <w:spacing w:before="160" w:after="80"/>
      </w:pPr>
    </w:p>
    <w:p w14:paraId="1E8BCA09">
      <w:pPr>
        <w:pStyle w:val="3"/>
        <w:spacing w:before="280" w:after="120"/>
      </w:pPr>
      <w:r>
        <w:rPr>
          <w:rFonts w:ascii="Arial" w:hAnsi="Arial" w:eastAsia="Arial" w:cs="Arial"/>
          <w:b/>
          <w:bCs/>
          <w:color w:val="2E5FA3"/>
          <w:sz w:val="26"/>
          <w:szCs w:val="26"/>
        </w:rPr>
        <w:t>5.2  基准数据集与模型</w:t>
      </w:r>
    </w:p>
    <w:p w14:paraId="038AB5BA">
      <w:pPr>
        <w:pStyle w:val="16"/>
        <w:numPr>
          <w:ilvl w:val="0"/>
          <w:numId w:val="1"/>
        </w:numPr>
        <w:spacing w:before="60" w:after="60"/>
      </w:pPr>
      <w:r>
        <w:rPr>
          <w:rFonts w:ascii="Arial" w:hAnsi="Arial" w:eastAsia="Arial" w:cs="Arial"/>
          <w:b/>
          <w:bCs/>
          <w:sz w:val="22"/>
          <w:szCs w:val="22"/>
        </w:rPr>
        <w:t>数据集：</w:t>
      </w:r>
      <w:r>
        <w:rPr>
          <w:rFonts w:ascii="Arial" w:hAnsi="Arial" w:eastAsia="Arial" w:cs="Arial"/>
          <w:sz w:val="22"/>
          <w:szCs w:val="22"/>
        </w:rPr>
        <w:t>CIFAR-10、CelebA-HQ（人脸隐私场景）、ImageNet-64（大规模验证）</w:t>
      </w:r>
    </w:p>
    <w:p w14:paraId="3EC392DF">
      <w:pPr>
        <w:pStyle w:val="16"/>
        <w:numPr>
          <w:ilvl w:val="0"/>
          <w:numId w:val="1"/>
        </w:numPr>
        <w:spacing w:before="60" w:after="60"/>
      </w:pPr>
      <w:r>
        <w:rPr>
          <w:rFonts w:ascii="Arial" w:hAnsi="Arial" w:eastAsia="Arial" w:cs="Arial"/>
          <w:b/>
          <w:bCs/>
          <w:sz w:val="22"/>
          <w:szCs w:val="22"/>
        </w:rPr>
        <w:t>基准模型：</w:t>
      </w:r>
      <w:r>
        <w:rPr>
          <w:rFonts w:ascii="Arial" w:hAnsi="Arial" w:eastAsia="Arial" w:cs="Arial"/>
          <w:sz w:val="22"/>
          <w:szCs w:val="22"/>
        </w:rPr>
        <w:t>DDPM（基础扩散）、DDIM（快速采样）、Stable Diffusion v1.5（大规模部署场景）</w:t>
      </w:r>
    </w:p>
    <w:p w14:paraId="1DF04D13">
      <w:pPr>
        <w:pStyle w:val="16"/>
        <w:numPr>
          <w:ilvl w:val="0"/>
          <w:numId w:val="1"/>
        </w:numPr>
        <w:spacing w:before="60" w:after="60"/>
      </w:pPr>
      <w:r>
        <w:rPr>
          <w:rFonts w:ascii="Arial" w:hAnsi="Arial" w:eastAsia="Arial" w:cs="Arial"/>
          <w:b/>
          <w:bCs/>
          <w:sz w:val="22"/>
          <w:szCs w:val="22"/>
        </w:rPr>
        <w:t>攻击基准：</w:t>
      </w:r>
      <w:r>
        <w:rPr>
          <w:rFonts w:ascii="Arial" w:hAnsi="Arial" w:eastAsia="Arial" w:cs="Arial"/>
          <w:sz w:val="22"/>
          <w:szCs w:val="22"/>
        </w:rPr>
        <w:t>覆盖当前最强 MIA 攻击：Carlini 2021、SecMI（NeurIPS 2023）、GSA（梯度影子攻击）</w:t>
      </w:r>
    </w:p>
    <w:p w14:paraId="0914EB6E">
      <w:pPr>
        <w:spacing w:before="160" w:after="80"/>
      </w:pPr>
    </w:p>
    <w:p w14:paraId="74365F4C">
      <w:pPr>
        <w:pStyle w:val="2"/>
        <w:spacing w:before="360" w:after="180"/>
      </w:pPr>
      <w:r>
        <w:rPr>
          <w:rFonts w:ascii="Arial" w:hAnsi="Arial" w:eastAsia="Arial" w:cs="Arial"/>
          <w:b/>
          <w:bCs/>
          <w:color w:val="1F3864"/>
          <w:sz w:val="32"/>
          <w:szCs w:val="32"/>
        </w:rPr>
        <w:t>六、任务分工建议</w:t>
      </w:r>
    </w:p>
    <w:p w14:paraId="62C12FD2">
      <w:pPr>
        <w:spacing w:before="80" w:after="120"/>
      </w:pPr>
      <w:r>
        <w:rPr>
          <w:rFonts w:ascii="Arial" w:hAnsi="Arial" w:eastAsia="Arial" w:cs="Arial"/>
          <w:sz w:val="22"/>
          <w:szCs w:val="22"/>
        </w:rPr>
        <w:t>以下为导师建议的任务划分，各同学聚焦一条主线，可交叉讨论。</w:t>
      </w:r>
    </w:p>
    <w:p w14:paraId="33CDD12C">
      <w:pPr>
        <w:spacing w:before="80" w:after="8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400"/>
        <w:gridCol w:w="3860"/>
        <w:gridCol w:w="3000"/>
      </w:tblGrid>
      <w:tr w14:paraId="1790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2513F07E">
            <w:pPr>
              <w:jc w:val="center"/>
            </w:pPr>
            <w:r>
              <w:rPr>
                <w:rFonts w:ascii="Arial" w:hAnsi="Arial" w:eastAsia="Arial" w:cs="Arial"/>
                <w:b/>
                <w:bCs/>
                <w:color w:val="FFFFFF"/>
                <w:sz w:val="20"/>
                <w:szCs w:val="20"/>
              </w:rPr>
              <w:t>负责人</w:t>
            </w:r>
          </w:p>
        </w:tc>
        <w:tc>
          <w:tcPr>
            <w:tcW w:w="140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4BBBA430">
            <w:pPr>
              <w:jc w:val="center"/>
            </w:pPr>
            <w:r>
              <w:rPr>
                <w:rFonts w:ascii="Arial" w:hAnsi="Arial" w:eastAsia="Arial" w:cs="Arial"/>
                <w:b/>
                <w:bCs/>
                <w:color w:val="FFFFFF"/>
                <w:sz w:val="20"/>
                <w:szCs w:val="20"/>
              </w:rPr>
              <w:t>威胁模型</w:t>
            </w:r>
          </w:p>
        </w:tc>
        <w:tc>
          <w:tcPr>
            <w:tcW w:w="386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3D4476AB">
            <w:pPr>
              <w:jc w:val="center"/>
            </w:pPr>
            <w:r>
              <w:rPr>
                <w:rFonts w:ascii="Arial" w:hAnsi="Arial" w:eastAsia="Arial" w:cs="Arial"/>
                <w:b/>
                <w:bCs/>
                <w:color w:val="FFFFFF"/>
                <w:sz w:val="20"/>
                <w:szCs w:val="20"/>
              </w:rPr>
              <w:t>核心任务</w:t>
            </w:r>
          </w:p>
        </w:tc>
        <w:tc>
          <w:tcPr>
            <w:tcW w:w="3000" w:type="dxa"/>
            <w:tcBorders>
              <w:top w:val="single" w:color="1F3864" w:sz="0" w:space="0"/>
              <w:left w:val="single" w:color="1F3864" w:sz="0" w:space="0"/>
              <w:bottom w:val="single" w:color="1F3864" w:sz="0" w:space="0"/>
              <w:right w:val="single" w:color="1F3864" w:sz="0" w:space="0"/>
            </w:tcBorders>
            <w:shd w:val="clear" w:color="auto" w:fill="1F3864"/>
            <w:tcMar>
              <w:top w:w="100" w:type="dxa"/>
              <w:left w:w="140" w:type="dxa"/>
              <w:bottom w:w="100" w:type="dxa"/>
              <w:right w:w="140" w:type="dxa"/>
            </w:tcMar>
          </w:tcPr>
          <w:p w14:paraId="6307FE49">
            <w:pPr>
              <w:jc w:val="center"/>
            </w:pPr>
            <w:r>
              <w:rPr>
                <w:rFonts w:ascii="Arial" w:hAnsi="Arial" w:eastAsia="Arial" w:cs="Arial"/>
                <w:b/>
                <w:bCs/>
                <w:color w:val="FFFFFF"/>
                <w:sz w:val="20"/>
                <w:szCs w:val="20"/>
              </w:rPr>
              <w:t>预期产出</w:t>
            </w:r>
          </w:p>
        </w:tc>
      </w:tr>
      <w:tr w14:paraId="1216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77EA9F0F">
            <w:r>
              <w:rPr>
                <w:rFonts w:ascii="Arial" w:hAnsi="Arial" w:eastAsia="Arial" w:cs="Arial"/>
                <w:b/>
                <w:bCs/>
                <w:color w:val="1F3864"/>
                <w:sz w:val="20"/>
                <w:szCs w:val="20"/>
              </w:rPr>
              <w:t xml:space="preserve"> A</w:t>
            </w:r>
          </w:p>
        </w:tc>
        <w:tc>
          <w:tcPr>
            <w:tcW w:w="140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56C26464">
            <w:r>
              <w:rPr>
                <w:rFonts w:ascii="Arial" w:hAnsi="Arial" w:eastAsia="Arial" w:cs="Arial"/>
                <w:b w:val="0"/>
                <w:bCs w:val="0"/>
                <w:color w:val="1F1F1F"/>
                <w:sz w:val="20"/>
                <w:szCs w:val="20"/>
              </w:rPr>
              <w:t>黑盒</w:t>
            </w:r>
          </w:p>
        </w:tc>
        <w:tc>
          <w:tcPr>
            <w:tcW w:w="386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1D713E16">
            <w:pPr>
              <w:spacing w:before="0" w:after="0"/>
            </w:pPr>
            <w:r>
              <w:rPr>
                <w:rFonts w:ascii="Arial" w:hAnsi="Arial" w:eastAsia="Arial" w:cs="Arial"/>
                <w:sz w:val="20"/>
                <w:szCs w:val="20"/>
              </w:rPr>
              <w:t>1. 复现 SecMI 和 Carlini 2021 攻击基准</w:t>
            </w:r>
          </w:p>
          <w:p w14:paraId="1BB20EC0">
            <w:pPr>
              <w:spacing w:before="40" w:after="0"/>
            </w:pPr>
            <w:r>
              <w:rPr>
                <w:rFonts w:ascii="Arial" w:hAnsi="Arial" w:eastAsia="Arial" w:cs="Arial"/>
                <w:sz w:val="20"/>
                <w:szCs w:val="20"/>
              </w:rPr>
              <w:t>2. 实现方法 B-1（输出概率平滑）</w:t>
            </w:r>
          </w:p>
          <w:p w14:paraId="62F7AD93">
            <w:pPr>
              <w:spacing w:before="40" w:after="0"/>
            </w:pPr>
            <w:r>
              <w:rPr>
                <w:rFonts w:ascii="Arial" w:hAnsi="Arial" w:eastAsia="Arial" w:cs="Arial"/>
                <w:sz w:val="20"/>
                <w:szCs w:val="20"/>
              </w:rPr>
              <w:t>3. 实现方法 B-2（查询限速）</w:t>
            </w:r>
          </w:p>
          <w:p w14:paraId="4B1CD88F">
            <w:pPr>
              <w:spacing w:before="40" w:after="0"/>
            </w:pPr>
            <w:r>
              <w:rPr>
                <w:rFonts w:ascii="Arial" w:hAnsi="Arial" w:eastAsia="Arial" w:cs="Arial"/>
                <w:sz w:val="20"/>
                <w:szCs w:val="20"/>
              </w:rPr>
              <w:t>4. 评估去噪轨迹泄露场景下的防御效果</w:t>
            </w:r>
          </w:p>
        </w:tc>
        <w:tc>
          <w:tcPr>
            <w:tcW w:w="300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1E871151">
            <w:pPr>
              <w:spacing w:before="0" w:after="0"/>
            </w:pPr>
            <w:r>
              <w:rPr>
                <w:rFonts w:ascii="Arial" w:hAnsi="Arial" w:eastAsia="Arial" w:cs="Arial"/>
                <w:sz w:val="20"/>
                <w:szCs w:val="20"/>
              </w:rPr>
              <w:t>完整黑盒攻击/防御实验结果</w:t>
            </w:r>
          </w:p>
          <w:p w14:paraId="35A67B35">
            <w:pPr>
              <w:spacing w:before="40" w:after="0"/>
            </w:pPr>
            <w:r>
              <w:rPr>
                <w:rFonts w:ascii="Arial" w:hAnsi="Arial" w:eastAsia="Arial" w:cs="Arial"/>
                <w:sz w:val="20"/>
                <w:szCs w:val="20"/>
              </w:rPr>
              <w:t>轨迹截断防御的消融分析</w:t>
            </w:r>
          </w:p>
          <w:p w14:paraId="2E86BA88">
            <w:pPr>
              <w:spacing w:before="40" w:after="0"/>
            </w:pPr>
            <w:r>
              <w:rPr>
                <w:rFonts w:ascii="Arial" w:hAnsi="Arial" w:eastAsia="Arial" w:cs="Arial"/>
                <w:sz w:val="20"/>
                <w:szCs w:val="20"/>
              </w:rPr>
              <w:t>隐私-效用权衡曲线（ε 对 FID）</w:t>
            </w:r>
          </w:p>
        </w:tc>
      </w:tr>
      <w:tr w14:paraId="6C94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6CAA6FF5">
            <w:r>
              <w:rPr>
                <w:rFonts w:ascii="Arial" w:hAnsi="Arial" w:eastAsia="Arial" w:cs="Arial"/>
                <w:b/>
                <w:bCs/>
                <w:color w:val="1F3864"/>
                <w:sz w:val="20"/>
                <w:szCs w:val="20"/>
              </w:rPr>
              <w:t xml:space="preserve"> B</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21026C">
            <w:r>
              <w:rPr>
                <w:rFonts w:ascii="Arial" w:hAnsi="Arial" w:eastAsia="Arial" w:cs="Arial"/>
                <w:b w:val="0"/>
                <w:bCs w:val="0"/>
                <w:color w:val="1F1F1F"/>
                <w:sz w:val="20"/>
                <w:szCs w:val="20"/>
              </w:rPr>
              <w:t>白盒</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45A20E">
            <w:pPr>
              <w:spacing w:before="0" w:after="0"/>
            </w:pPr>
            <w:r>
              <w:rPr>
                <w:rFonts w:ascii="Arial" w:hAnsi="Arial" w:eastAsia="Arial" w:cs="Arial"/>
                <w:sz w:val="20"/>
                <w:szCs w:val="20"/>
              </w:rPr>
              <w:t>1. 实现 Diffusion-DP（方法 W-1）</w:t>
            </w:r>
          </w:p>
          <w:p w14:paraId="6D9CB106">
            <w:pPr>
              <w:spacing w:before="40" w:after="0"/>
            </w:pPr>
            <w:r>
              <w:rPr>
                <w:rFonts w:ascii="Arial" w:hAnsi="Arial" w:eastAsia="Arial" w:cs="Arial"/>
                <w:sz w:val="20"/>
                <w:szCs w:val="20"/>
              </w:rPr>
              <w:t>2. 设计步骤自适应梯度裁剪策略</w:t>
            </w:r>
          </w:p>
          <w:p w14:paraId="689F02DA">
            <w:pPr>
              <w:spacing w:before="40" w:after="0"/>
            </w:pPr>
            <w:r>
              <w:rPr>
                <w:rFonts w:ascii="Arial" w:hAnsi="Arial" w:eastAsia="Arial" w:cs="Arial"/>
                <w:sz w:val="20"/>
                <w:szCs w:val="20"/>
              </w:rPr>
              <w:t>3. 实现成员信号对抗训练（方法 W-2）</w:t>
            </w:r>
          </w:p>
          <w:p w14:paraId="05594291">
            <w:pPr>
              <w:spacing w:before="40" w:after="0"/>
            </w:pPr>
            <w:r>
              <w:rPr>
                <w:rFonts w:ascii="Arial" w:hAnsi="Arial" w:eastAsia="Arial" w:cs="Arial"/>
                <w:sz w:val="20"/>
                <w:szCs w:val="20"/>
              </w:rPr>
              <w:t>4. 分析 DDIM Inversion 泄露机制与防御</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9E26E4">
            <w:pPr>
              <w:spacing w:before="0" w:after="0"/>
            </w:pPr>
            <w:r>
              <w:rPr>
                <w:rFonts w:ascii="Arial" w:hAnsi="Arial" w:eastAsia="Arial" w:cs="Arial"/>
                <w:sz w:val="20"/>
                <w:szCs w:val="20"/>
              </w:rPr>
              <w:t>Diffusion-DP 训练代码</w:t>
            </w:r>
          </w:p>
          <w:p w14:paraId="4AC2FE97">
            <w:pPr>
              <w:spacing w:before="40" w:after="0"/>
            </w:pPr>
            <w:r>
              <w:rPr>
                <w:rFonts w:ascii="Arial" w:hAnsi="Arial" w:eastAsia="Arial" w:cs="Arial"/>
                <w:sz w:val="20"/>
                <w:szCs w:val="20"/>
              </w:rPr>
              <w:t>步骤自适应裁剪消融实验</w:t>
            </w:r>
          </w:p>
          <w:p w14:paraId="273D0534">
            <w:pPr>
              <w:spacing w:before="40" w:after="0"/>
            </w:pPr>
            <w:r>
              <w:rPr>
                <w:rFonts w:ascii="Arial" w:hAnsi="Arial" w:eastAsia="Arial" w:cs="Arial"/>
                <w:sz w:val="20"/>
                <w:szCs w:val="20"/>
              </w:rPr>
              <w:t>白盒防御效果评估报告</w:t>
            </w:r>
          </w:p>
        </w:tc>
      </w:tr>
      <w:tr w14:paraId="6A306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73882156">
            <w:r>
              <w:rPr>
                <w:rFonts w:ascii="Arial" w:hAnsi="Arial" w:eastAsia="Arial" w:cs="Arial"/>
                <w:b/>
                <w:bCs/>
                <w:color w:val="1F3864"/>
                <w:sz w:val="20"/>
                <w:szCs w:val="20"/>
              </w:rPr>
              <w:t xml:space="preserve"> C</w:t>
            </w:r>
          </w:p>
        </w:tc>
        <w:tc>
          <w:tcPr>
            <w:tcW w:w="140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055ECE47">
            <w:r>
              <w:rPr>
                <w:rFonts w:ascii="Arial" w:hAnsi="Arial" w:eastAsia="Arial" w:cs="Arial"/>
                <w:b w:val="0"/>
                <w:bCs w:val="0"/>
                <w:color w:val="1F1F1F"/>
                <w:sz w:val="20"/>
                <w:szCs w:val="20"/>
              </w:rPr>
              <w:t>灰盒</w:t>
            </w:r>
          </w:p>
        </w:tc>
        <w:tc>
          <w:tcPr>
            <w:tcW w:w="386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5D608580">
            <w:pPr>
              <w:spacing w:before="0" w:after="0"/>
            </w:pPr>
            <w:r>
              <w:rPr>
                <w:rFonts w:ascii="Arial" w:hAnsi="Arial" w:eastAsia="Arial" w:cs="Arial"/>
                <w:sz w:val="20"/>
                <w:szCs w:val="20"/>
              </w:rPr>
              <w:t>1. 搭建影子模型攻击基准</w:t>
            </w:r>
          </w:p>
          <w:p w14:paraId="7CA29043">
            <w:pPr>
              <w:spacing w:before="40" w:after="0"/>
            </w:pPr>
            <w:r>
              <w:rPr>
                <w:rFonts w:ascii="Arial" w:hAnsi="Arial" w:eastAsia="Arial" w:cs="Arial"/>
                <w:sz w:val="20"/>
                <w:szCs w:val="20"/>
              </w:rPr>
              <w:t>2. 实现方法 G-1（推理时架构随机化）</w:t>
            </w:r>
          </w:p>
          <w:p w14:paraId="16C9F3BC">
            <w:pPr>
              <w:spacing w:before="40" w:after="0"/>
            </w:pPr>
            <w:r>
              <w:rPr>
                <w:rFonts w:ascii="Arial" w:hAnsi="Arial" w:eastAsia="Arial" w:cs="Arial"/>
                <w:sz w:val="20"/>
                <w:szCs w:val="20"/>
              </w:rPr>
              <w:t>3. 实现方法 G-2（知识蒸馏代理模型）</w:t>
            </w:r>
          </w:p>
          <w:p w14:paraId="1BD3B2D0">
            <w:pPr>
              <w:spacing w:before="40" w:after="0"/>
            </w:pPr>
            <w:r>
              <w:rPr>
                <w:rFonts w:ascii="Arial" w:hAnsi="Arial" w:eastAsia="Arial" w:cs="Arial"/>
                <w:sz w:val="20"/>
                <w:szCs w:val="20"/>
              </w:rPr>
              <w:t>4. 评估 CFG 条件信号泄露防御效果</w:t>
            </w:r>
          </w:p>
        </w:tc>
        <w:tc>
          <w:tcPr>
            <w:tcW w:w="3000" w:type="dxa"/>
            <w:tcBorders>
              <w:top w:val="single" w:color="CCCCCC" w:sz="0" w:space="0"/>
              <w:left w:val="single" w:color="CCCCCC" w:sz="0" w:space="0"/>
              <w:bottom w:val="single" w:color="CCCCCC" w:sz="0" w:space="0"/>
              <w:right w:val="single" w:color="CCCCCC" w:sz="0" w:space="0"/>
            </w:tcBorders>
            <w:shd w:val="clear" w:color="auto" w:fill="F7F9FF"/>
            <w:tcMar>
              <w:top w:w="80" w:type="dxa"/>
              <w:left w:w="140" w:type="dxa"/>
              <w:bottom w:w="80" w:type="dxa"/>
              <w:right w:w="140" w:type="dxa"/>
            </w:tcMar>
          </w:tcPr>
          <w:p w14:paraId="2C7081D1">
            <w:pPr>
              <w:spacing w:before="0" w:after="0"/>
            </w:pPr>
            <w:r>
              <w:rPr>
                <w:rFonts w:ascii="Arial" w:hAnsi="Arial" w:eastAsia="Arial" w:cs="Arial"/>
                <w:sz w:val="20"/>
                <w:szCs w:val="20"/>
              </w:rPr>
              <w:t>灰盒攻击/防御实验结果</w:t>
            </w:r>
          </w:p>
          <w:p w14:paraId="1DDC80DE">
            <w:pPr>
              <w:spacing w:before="40" w:after="0"/>
            </w:pPr>
            <w:r>
              <w:rPr>
                <w:rFonts w:ascii="Arial" w:hAnsi="Arial" w:eastAsia="Arial" w:cs="Arial"/>
                <w:sz w:val="20"/>
                <w:szCs w:val="20"/>
              </w:rPr>
              <w:t>蒸馏代理模型生成质量分析</w:t>
            </w:r>
          </w:p>
          <w:p w14:paraId="60679069">
            <w:pPr>
              <w:spacing w:before="40" w:after="0"/>
            </w:pPr>
            <w:r>
              <w:rPr>
                <w:rFonts w:ascii="Arial" w:hAnsi="Arial" w:eastAsia="Arial" w:cs="Arial"/>
                <w:sz w:val="20"/>
                <w:szCs w:val="20"/>
              </w:rPr>
              <w:t>跨数据集迁移防御验证</w:t>
            </w:r>
          </w:p>
        </w:tc>
      </w:tr>
      <w:tr w14:paraId="3614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EBF0FA"/>
            <w:tcMar>
              <w:top w:w="80" w:type="dxa"/>
              <w:left w:w="140" w:type="dxa"/>
              <w:bottom w:w="80" w:type="dxa"/>
              <w:right w:w="140" w:type="dxa"/>
            </w:tcMar>
          </w:tcPr>
          <w:p w14:paraId="700BD183">
            <w:r>
              <w:rPr>
                <w:rFonts w:ascii="Arial" w:hAnsi="Arial" w:eastAsia="Arial" w:cs="Arial"/>
                <w:b/>
                <w:bCs/>
                <w:color w:val="1F3864"/>
                <w:sz w:val="20"/>
                <w:szCs w:val="20"/>
              </w:rPr>
              <w:t>全组协作</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7729462">
            <w:r>
              <w:rPr>
                <w:rFonts w:ascii="Arial" w:hAnsi="Arial" w:eastAsia="Arial" w:cs="Arial"/>
                <w:b w:val="0"/>
                <w:bCs w:val="0"/>
                <w:color w:val="1F1F1F"/>
                <w:sz w:val="20"/>
                <w:szCs w:val="20"/>
              </w:rPr>
              <w:t>三盒统一</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759A8E">
            <w:pPr>
              <w:spacing w:before="0" w:after="0"/>
            </w:pPr>
            <w:r>
              <w:rPr>
                <w:rFonts w:ascii="Arial" w:hAnsi="Arial" w:eastAsia="Arial" w:cs="Arial"/>
                <w:sz w:val="20"/>
                <w:szCs w:val="20"/>
              </w:rPr>
              <w:t>1. 统一评估框架代码库</w:t>
            </w:r>
          </w:p>
          <w:p w14:paraId="79FDCEDA">
            <w:pPr>
              <w:spacing w:before="40" w:after="0"/>
            </w:pPr>
            <w:r>
              <w:rPr>
                <w:rFonts w:ascii="Arial" w:hAnsi="Arial" w:eastAsia="Arial" w:cs="Arial"/>
                <w:sz w:val="20"/>
                <w:szCs w:val="20"/>
              </w:rPr>
              <w:t>2. 自适应攻击验证（攻击者知道防御）</w:t>
            </w:r>
          </w:p>
          <w:p w14:paraId="10EA7170">
            <w:pPr>
              <w:spacing w:before="40" w:after="0"/>
            </w:pPr>
            <w:r>
              <w:rPr>
                <w:rFonts w:ascii="Arial" w:hAnsi="Arial" w:eastAsia="Arial" w:cs="Arial"/>
                <w:sz w:val="20"/>
                <w:szCs w:val="20"/>
              </w:rPr>
              <w:t>3. 论文实验部分撰写</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7C49CF1">
            <w:pPr>
              <w:spacing w:before="0" w:after="0"/>
            </w:pPr>
            <w:r>
              <w:rPr>
                <w:rFonts w:ascii="Arial" w:hAnsi="Arial" w:eastAsia="Arial" w:cs="Arial"/>
                <w:sz w:val="20"/>
                <w:szCs w:val="20"/>
              </w:rPr>
              <w:t>开源代码库（GitHub）</w:t>
            </w:r>
          </w:p>
          <w:p w14:paraId="05449529">
            <w:pPr>
              <w:spacing w:before="40" w:after="0"/>
            </w:pPr>
            <w:r>
              <w:rPr>
                <w:rFonts w:ascii="Arial" w:hAnsi="Arial" w:eastAsia="Arial" w:cs="Arial"/>
                <w:sz w:val="20"/>
                <w:szCs w:val="20"/>
              </w:rPr>
              <w:t>完整实验 Table（对应论文）</w:t>
            </w:r>
          </w:p>
          <w:p w14:paraId="0BD681E0">
            <w:pPr>
              <w:spacing w:before="40" w:after="0"/>
            </w:pPr>
            <w:r>
              <w:rPr>
                <w:rFonts w:ascii="Arial" w:hAnsi="Arial" w:eastAsia="Arial" w:cs="Arial"/>
                <w:sz w:val="20"/>
                <w:szCs w:val="20"/>
              </w:rPr>
              <w:t>论文初稿</w:t>
            </w:r>
          </w:p>
        </w:tc>
      </w:tr>
    </w:tbl>
    <w:p w14:paraId="21B381AB">
      <w:pPr>
        <w:spacing w:before="160" w:after="80"/>
      </w:pPr>
    </w:p>
    <w:p w14:paraId="065D365D">
      <w:pPr>
        <w:pStyle w:val="2"/>
        <w:spacing w:before="360" w:after="180"/>
      </w:pPr>
      <w:r>
        <w:rPr>
          <w:rFonts w:ascii="Arial" w:hAnsi="Arial" w:eastAsia="Arial" w:cs="Arial"/>
          <w:b/>
          <w:bCs/>
          <w:color w:val="1F3864"/>
          <w:sz w:val="32"/>
          <w:szCs w:val="32"/>
        </w:rPr>
        <w:t>七、关键参考文献</w:t>
      </w:r>
    </w:p>
    <w:p w14:paraId="4AEF6699">
      <w:pPr>
        <w:spacing w:before="80" w:after="120"/>
      </w:pPr>
      <w:r>
        <w:rPr>
          <w:rFonts w:ascii="Arial" w:hAnsi="Arial" w:eastAsia="Arial" w:cs="Arial"/>
          <w:sz w:val="22"/>
          <w:szCs w:val="22"/>
        </w:rPr>
        <w:t>以下文献为本研究的直接基础，各同学应精读与自己方向相关的文献。</w:t>
      </w:r>
    </w:p>
    <w:p w14:paraId="714EA350">
      <w:pPr>
        <w:spacing w:before="80" w:after="80"/>
      </w:pPr>
    </w:p>
    <w:p w14:paraId="1C6FC0E7">
      <w:pPr>
        <w:pStyle w:val="3"/>
        <w:spacing w:before="280" w:after="120"/>
      </w:pPr>
      <w:r>
        <w:rPr>
          <w:rFonts w:ascii="Arial" w:hAnsi="Arial" w:eastAsia="Arial" w:cs="Arial"/>
          <w:b/>
          <w:bCs/>
          <w:color w:val="2E5FA3"/>
          <w:sz w:val="26"/>
          <w:szCs w:val="26"/>
        </w:rPr>
        <w:t>MIA 基础文献</w:t>
      </w:r>
    </w:p>
    <w:p w14:paraId="1641EEF8">
      <w:pPr>
        <w:pStyle w:val="16"/>
        <w:numPr>
          <w:ilvl w:val="0"/>
          <w:numId w:val="2"/>
        </w:numPr>
        <w:spacing w:before="60" w:after="60"/>
      </w:pPr>
      <w:r>
        <w:rPr>
          <w:rFonts w:ascii="Arial" w:hAnsi="Arial" w:eastAsia="Arial" w:cs="Arial"/>
          <w:sz w:val="22"/>
          <w:szCs w:val="22"/>
        </w:rPr>
        <w:t>Carlini et al. Membership Inference Attacks From First Principles. IEEE S&amp;P 2022. （必读：定义了 TPR@FPR=0.1% 评估标准）</w:t>
      </w:r>
    </w:p>
    <w:p w14:paraId="6773CC80">
      <w:pPr>
        <w:pStyle w:val="16"/>
        <w:numPr>
          <w:ilvl w:val="0"/>
          <w:numId w:val="2"/>
        </w:numPr>
        <w:spacing w:before="60" w:after="60"/>
      </w:pPr>
      <w:r>
        <w:rPr>
          <w:rFonts w:ascii="Arial" w:hAnsi="Arial" w:eastAsia="Arial" w:cs="Arial"/>
          <w:sz w:val="22"/>
          <w:szCs w:val="22"/>
        </w:rPr>
        <w:t>Shokri et al. Membership Inference Attacks Against Machine Learning Models. IEEE S&amp;P 2017. （影子模型攻击鼻祖）</w:t>
      </w:r>
    </w:p>
    <w:p w14:paraId="284C2135">
      <w:pPr>
        <w:spacing w:before="80" w:after="80"/>
      </w:pPr>
    </w:p>
    <w:p w14:paraId="0E882367">
      <w:pPr>
        <w:pStyle w:val="3"/>
        <w:spacing w:before="280" w:after="120"/>
      </w:pPr>
      <w:r>
        <w:rPr>
          <w:rFonts w:ascii="Arial" w:hAnsi="Arial" w:eastAsia="Arial" w:cs="Arial"/>
          <w:b/>
          <w:bCs/>
          <w:color w:val="2E5FA3"/>
          <w:sz w:val="26"/>
          <w:szCs w:val="26"/>
        </w:rPr>
        <w:t>扩散模型 MIA 攻击</w:t>
      </w:r>
    </w:p>
    <w:p w14:paraId="5BA02A2A">
      <w:pPr>
        <w:pStyle w:val="16"/>
        <w:numPr>
          <w:ilvl w:val="0"/>
          <w:numId w:val="2"/>
        </w:numPr>
        <w:spacing w:before="60" w:after="60"/>
      </w:pPr>
      <w:r>
        <w:rPr>
          <w:rFonts w:ascii="Arial" w:hAnsi="Arial" w:eastAsia="Arial" w:cs="Arial"/>
          <w:sz w:val="22"/>
          <w:szCs w:val="22"/>
        </w:rPr>
        <w:t>Duan et al. Are Diffusion Models Vulnerable to Membership Inference Attacks? ICML 2023.</w:t>
      </w:r>
    </w:p>
    <w:p w14:paraId="6F09F363">
      <w:pPr>
        <w:pStyle w:val="16"/>
        <w:numPr>
          <w:ilvl w:val="0"/>
          <w:numId w:val="2"/>
        </w:numPr>
        <w:spacing w:before="60" w:after="60"/>
      </w:pPr>
      <w:r>
        <w:rPr>
          <w:rFonts w:ascii="Arial" w:hAnsi="Arial" w:eastAsia="Arial" w:cs="Arial"/>
          <w:sz w:val="22"/>
          <w:szCs w:val="22"/>
        </w:rPr>
        <w:t>Wu et al. Membership Inference of Diffusion Models. (SecMI) NeurIPS 2023. （去噪轨迹攻击，必读）</w:t>
      </w:r>
    </w:p>
    <w:p w14:paraId="0EC88644">
      <w:pPr>
        <w:pStyle w:val="16"/>
        <w:numPr>
          <w:ilvl w:val="0"/>
          <w:numId w:val="2"/>
        </w:numPr>
        <w:spacing w:before="60" w:after="60"/>
      </w:pPr>
      <w:r>
        <w:rPr>
          <w:rFonts w:ascii="Arial" w:hAnsi="Arial" w:eastAsia="Arial" w:cs="Arial"/>
          <w:sz w:val="22"/>
          <w:szCs w:val="22"/>
        </w:rPr>
        <w:t>Matsumoto et al. Membership Inference Attacks Against Diffusion Models. IEEE S&amp;P Workshop 2023.</w:t>
      </w:r>
    </w:p>
    <w:p w14:paraId="62DA197B">
      <w:pPr>
        <w:spacing w:before="80" w:after="80"/>
      </w:pPr>
    </w:p>
    <w:p w14:paraId="1DC45742">
      <w:pPr>
        <w:pStyle w:val="3"/>
        <w:spacing w:before="280" w:after="120"/>
      </w:pPr>
      <w:r>
        <w:rPr>
          <w:rFonts w:ascii="Arial" w:hAnsi="Arial" w:eastAsia="Arial" w:cs="Arial"/>
          <w:b/>
          <w:bCs/>
          <w:color w:val="2E5FA3"/>
          <w:sz w:val="26"/>
          <w:szCs w:val="26"/>
        </w:rPr>
        <w:t>差分隐私与扩散模型</w:t>
      </w:r>
    </w:p>
    <w:p w14:paraId="5F524333">
      <w:pPr>
        <w:pStyle w:val="16"/>
        <w:numPr>
          <w:ilvl w:val="0"/>
          <w:numId w:val="2"/>
        </w:numPr>
        <w:spacing w:before="60" w:after="60"/>
      </w:pPr>
      <w:r>
        <w:rPr>
          <w:rFonts w:ascii="Arial" w:hAnsi="Arial" w:eastAsia="Arial" w:cs="Arial"/>
          <w:sz w:val="22"/>
          <w:szCs w:val="22"/>
        </w:rPr>
        <w:t>Dockhorn et al. Differentially Private Diffusion Models. TMLR 2023.</w:t>
      </w:r>
    </w:p>
    <w:p w14:paraId="4851B760">
      <w:pPr>
        <w:pStyle w:val="16"/>
        <w:numPr>
          <w:ilvl w:val="0"/>
          <w:numId w:val="2"/>
        </w:numPr>
        <w:spacing w:before="60" w:after="60"/>
      </w:pPr>
      <w:r>
        <w:rPr>
          <w:rFonts w:ascii="Arial" w:hAnsi="Arial" w:eastAsia="Arial" w:cs="Arial"/>
          <w:sz w:val="22"/>
          <w:szCs w:val="22"/>
        </w:rPr>
        <w:t>Ghalebikesabi et al. Differentially Private Diffusion Models Generate Useful Synthetic Images. arXiv 2023.</w:t>
      </w:r>
    </w:p>
    <w:p w14:paraId="2C36796D">
      <w:pPr>
        <w:spacing w:before="80" w:after="80"/>
      </w:pPr>
    </w:p>
    <w:p w14:paraId="4D36AFBE">
      <w:pPr>
        <w:pStyle w:val="3"/>
        <w:spacing w:before="280" w:after="120"/>
      </w:pPr>
      <w:r>
        <w:rPr>
          <w:rFonts w:ascii="Arial" w:hAnsi="Arial" w:eastAsia="Arial" w:cs="Arial"/>
          <w:b/>
          <w:bCs/>
          <w:color w:val="2E5FA3"/>
          <w:sz w:val="26"/>
          <w:szCs w:val="26"/>
        </w:rPr>
        <w:t>通用 MIA 防御</w:t>
      </w:r>
    </w:p>
    <w:p w14:paraId="169961FD">
      <w:pPr>
        <w:pStyle w:val="16"/>
        <w:numPr>
          <w:ilvl w:val="0"/>
          <w:numId w:val="2"/>
        </w:numPr>
        <w:spacing w:before="60" w:after="60"/>
      </w:pPr>
      <w:r>
        <w:rPr>
          <w:rFonts w:ascii="Arial" w:hAnsi="Arial" w:eastAsia="Arial" w:cs="Arial"/>
          <w:sz w:val="22"/>
          <w:szCs w:val="22"/>
        </w:rPr>
        <w:t>Jia et al. MemGuard: Defending Against Black-Box Membership Inference Attacks via Adversarial Examples. CCS 2019.</w:t>
      </w:r>
    </w:p>
    <w:p w14:paraId="2FB46DCA">
      <w:pPr>
        <w:pStyle w:val="16"/>
        <w:numPr>
          <w:ilvl w:val="0"/>
          <w:numId w:val="2"/>
        </w:numPr>
        <w:spacing w:before="60" w:after="60"/>
      </w:pPr>
      <w:r>
        <w:rPr>
          <w:rFonts w:ascii="Arial" w:hAnsi="Arial" w:eastAsia="Arial" w:cs="Arial"/>
          <w:sz w:val="22"/>
          <w:szCs w:val="22"/>
        </w:rPr>
        <w:t>Nasr et al. Machine Learning with Membership Privacy using Adversarial Regularization. CCS 2018.</w:t>
      </w:r>
    </w:p>
    <w:p w14:paraId="68741E91">
      <w:pPr>
        <w:spacing w:before="160" w:after="80"/>
      </w:pPr>
      <w:bookmarkStart w:id="0" w:name="_GoBack"/>
      <w:bookmarkEnd w:id="0"/>
    </w:p>
    <w:p w14:paraId="7F67723F">
      <w:pPr>
        <w:pStyle w:val="2"/>
        <w:spacing w:before="360" w:after="180"/>
      </w:pPr>
      <w:r>
        <w:rPr>
          <w:rFonts w:ascii="Arial" w:hAnsi="Arial" w:eastAsia="Arial" w:cs="Arial"/>
          <w:b/>
          <w:bCs/>
          <w:color w:val="1F3864"/>
          <w:sz w:val="32"/>
          <w:szCs w:val="32"/>
        </w:rPr>
        <w:t>附录：三大创新点概要（论文 Contribution 写法参考）</w:t>
      </w:r>
    </w:p>
    <w:p w14:paraId="2C390F01">
      <w:pPr>
        <w:spacing w:before="80" w:after="120"/>
      </w:pPr>
      <w:r>
        <w:rPr>
          <w:rFonts w:ascii="Arial" w:hAnsi="Arial" w:eastAsia="Arial" w:cs="Arial"/>
          <w:sz w:val="22"/>
          <w:szCs w:val="22"/>
        </w:rPr>
        <w:t>以下表述可作为论文 Introduction 中 Contribution 部分的写作参考，供导师修改后使用。</w:t>
      </w:r>
    </w:p>
    <w:p w14:paraId="01A48B9E">
      <w:pPr>
        <w:spacing w:before="80" w:after="80"/>
      </w:pPr>
    </w:p>
    <w:p w14:paraId="49335DA7">
      <w:pPr>
        <w:spacing w:before="80" w:after="80"/>
      </w:pPr>
      <w:r>
        <w:rPr>
          <w:rFonts w:ascii="Arial" w:hAnsi="Arial" w:eastAsia="Arial" w:cs="Arial"/>
          <w:b/>
          <w:bCs/>
          <w:color w:val="1F3864"/>
          <w:sz w:val="24"/>
          <w:szCs w:val="24"/>
        </w:rPr>
        <w:t>贡献一：扩散模型新型攻击面的系统刻画</w:t>
      </w:r>
    </w:p>
    <w:p w14:paraId="310E02EF">
      <w:pPr>
        <w:spacing w:before="80" w:after="120"/>
      </w:pPr>
      <w:r>
        <w:rPr>
          <w:rFonts w:ascii="Arial" w:hAnsi="Arial" w:eastAsia="Arial" w:cs="Arial"/>
          <w:sz w:val="22"/>
          <w:szCs w:val="22"/>
        </w:rPr>
        <w:t>我们首次系统分析了扩散模型特有的三类成员泄露渠道——多步去噪轨迹、Classifier-Free Guidance 条件信号和 DDIM Inversion 潜变量——并通过实验验证了各渠道对不同威胁模型下 MIA 攻击成功率的独立贡献。</w:t>
      </w:r>
    </w:p>
    <w:p w14:paraId="46B7B604">
      <w:pPr>
        <w:spacing w:before="80" w:after="80"/>
      </w:pPr>
    </w:p>
    <w:p w14:paraId="417D1B53">
      <w:pPr>
        <w:spacing w:before="80" w:after="80"/>
      </w:pPr>
      <w:r>
        <w:rPr>
          <w:rFonts w:ascii="Arial" w:hAnsi="Arial" w:eastAsia="Arial" w:cs="Arial"/>
          <w:b/>
          <w:bCs/>
          <w:color w:val="1F3864"/>
          <w:sz w:val="24"/>
          <w:szCs w:val="24"/>
        </w:rPr>
        <w:t>贡献二：三维威胁模型下的专用防御机制</w:t>
      </w:r>
    </w:p>
    <w:p w14:paraId="6A277BB3">
      <w:pPr>
        <w:spacing w:before="80" w:after="120"/>
      </w:pPr>
      <w:r>
        <w:rPr>
          <w:rFonts w:ascii="Arial" w:hAnsi="Arial" w:eastAsia="Arial" w:cs="Arial"/>
          <w:sz w:val="22"/>
          <w:szCs w:val="22"/>
        </w:rPr>
        <w:t>我们针对黑盒、白盒、灰盒三种威胁模型分别提出了专用防御方案，包括：步骤自适应的 Diffusion-DP 训练、成员信号对抗正则化、推理时架构随机化以及知识蒸馏代理部署。各方案在对应威胁模型下均取得了最优的隐私-效用权衡。</w:t>
      </w:r>
    </w:p>
    <w:p w14:paraId="16ADAE56">
      <w:pPr>
        <w:spacing w:before="80" w:after="80"/>
      </w:pPr>
    </w:p>
    <w:p w14:paraId="29CEF198">
      <w:pPr>
        <w:spacing w:before="80" w:after="80"/>
      </w:pPr>
      <w:r>
        <w:rPr>
          <w:rFonts w:ascii="Arial" w:hAnsi="Arial" w:eastAsia="Arial" w:cs="Arial"/>
          <w:b/>
          <w:bCs/>
          <w:color w:val="1F3864"/>
          <w:sz w:val="24"/>
          <w:szCs w:val="24"/>
        </w:rPr>
        <w:t>贡献三：统一评估基准与开源代码库</w:t>
      </w:r>
    </w:p>
    <w:p w14:paraId="6A252585">
      <w:pPr>
        <w:spacing w:before="80" w:after="120"/>
      </w:pPr>
      <w:r>
        <w:rPr>
          <w:rFonts w:ascii="Arial" w:hAnsi="Arial" w:eastAsia="Arial" w:cs="Arial"/>
          <w:sz w:val="22"/>
          <w:szCs w:val="22"/>
        </w:rPr>
        <w:t>我们建立了覆盖三种威胁模型、五个数据集和当前最强 MIA 攻击的统一评估框架，并将完整实验代码开源，为后续扩散模型隐私安全研究提供可复现的基准。</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95ABC">
    <w:pPr>
      <w:pBdr>
        <w:top w:val="single" w:color="1F3864" w:sz="4" w:space="1"/>
      </w:pBdr>
      <w:spacing w:before="120"/>
      <w:jc w:val="right"/>
    </w:pPr>
    <w:r>
      <w:rPr>
        <w:rFonts w:ascii="Arial" w:hAnsi="Arial" w:eastAsia="Arial" w:cs="Arial"/>
        <w:color w:val="888888"/>
        <w:sz w:val="18"/>
        <w:szCs w:val="18"/>
      </w:rPr>
      <w:t xml:space="preserve">第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38C5F">
    <w:pPr>
      <w:pBdr>
        <w:bottom w:val="single" w:color="1F3864" w:sz="4" w:space="1"/>
      </w:pBdr>
      <w:spacing w:after="120"/>
    </w:pPr>
    <w:r>
      <w:rPr>
        <w:rFonts w:ascii="Arial" w:hAnsi="Arial" w:eastAsia="Arial" w:cs="Arial"/>
        <w:color w:val="888888"/>
        <w:sz w:val="18"/>
        <w:szCs w:val="18"/>
      </w:rPr>
      <w:t xml:space="preserve">针对扩散模型的成员推断攻击防御研究  </w:t>
    </w:r>
    <w:r>
      <w:rPr>
        <w:rFonts w:ascii="Arial" w:hAnsi="Arial" w:eastAsia="Arial" w:cs="Arial"/>
        <w:i/>
        <w:iCs/>
        <w:color w:val="888888"/>
        <w:sz w:val="18"/>
        <w:szCs w:val="18"/>
      </w:rPr>
      <w:t xml:space="preserve">  技术方向文档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600" w:hanging="300"/>
      </w:pPr>
    </w:lvl>
  </w:abstractNum>
  <w:abstractNum w:abstractNumId="1">
    <w:nsid w:val="59ADCABA"/>
    <w:multiLevelType w:val="singleLevel"/>
    <w:tmpl w:val="59ADCABA"/>
    <w:lvl w:ilvl="0" w:tentative="0">
      <w:start w:val="1"/>
      <w:numFmt w:val="decimal"/>
      <w:lvlText w:val="%1."/>
      <w:lvlJc w:val="left"/>
      <w:pPr>
        <w:ind w:left="60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useFELayout/>
    <w:compatSetting w:name="compatibilityMode" w:uri="http://schemas.microsoft.com/office/word" w:val="15"/>
  </w:compat>
  <w:rsids>
    <w:rsidRoot w:val="00000000"/>
    <w:rsid w:val="0CBD3586"/>
    <w:rsid w:val="14AD02C9"/>
    <w:rsid w:val="7A0959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80" w:after="120"/>
      <w:outlineLvl w:val="1"/>
    </w:pPr>
    <w:rPr>
      <w:rFonts w:ascii="Arial" w:hAnsi="Arial" w:eastAsia="Arial" w:cs="Arial"/>
      <w:b/>
      <w:bCs/>
      <w:color w:val="2E5FA3"/>
      <w:sz w:val="26"/>
      <w:szCs w:val="26"/>
    </w:rPr>
  </w:style>
  <w:style w:type="paragraph" w:styleId="4">
    <w:name w:val="heading 3"/>
    <w:next w:val="1"/>
    <w:qFormat/>
    <w:uiPriority w:val="0"/>
    <w:pPr>
      <w:spacing w:before="200" w:after="10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3205</Words>
  <Characters>4084</Characters>
  <TotalTime>1</TotalTime>
  <ScaleCrop>false</ScaleCrop>
  <LinksUpToDate>false</LinksUpToDate>
  <CharactersWithSpaces>4297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2026-04-07T01:44:00Z</dcterms:created>
  <dc:creator>Un-named</dc:creator>
  <cp:lastModifiedBy>Lemonade</cp:lastModifiedBy>
  <dcterms:modified xsi:type="dcterms:W3CDTF">2026-04-07T01:47:55Z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eyJoZGlkIjoiZGRlY2QzNDBjMGYzNTQzYWIzMzkyMWEzMDYxOWU5MTciLCJ1c2VySWQiOiIxMTQ1MjA0NDM0In0=</vt:lpwstr>
  </property>
  <property fmtid="{D5CDD505-2E9C-101B-9397-08002B2CF9AE}" pid="3" name="KSOProductBuildVer">
    <vt:lpwstr>2052-12.1.0.25225</vt:lpwstr>
  </property>
  <property fmtid="{D5CDD505-2E9C-101B-9397-08002B2CF9AE}" pid="4" name="ICV">
    <vt:lpwstr>E249378CB6F942F48D4EED73B28DE0B5_12</vt:lpwstr>
  </property>
</Properties>
</file>