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299" w:rsidRDefault="00275299" w:rsidP="00275299">
      <w:pPr>
        <w:pStyle w:val="1"/>
        <w:numPr>
          <w:ilvl w:val="0"/>
          <w:numId w:val="7"/>
        </w:numPr>
        <w:ind w:left="1701" w:hanging="850"/>
      </w:pPr>
      <w:r>
        <w:t>ОХРАНА ТРУДА</w:t>
      </w:r>
      <w:r>
        <w:tab/>
      </w:r>
    </w:p>
    <w:p w:rsidR="00275299" w:rsidRDefault="00275299" w:rsidP="00275299">
      <w:pPr>
        <w:pStyle w:val="2"/>
        <w:ind w:left="1701" w:hanging="850"/>
      </w:pPr>
      <w:r>
        <w:t>7.1</w:t>
      </w:r>
      <w:r>
        <w:tab/>
      </w:r>
      <w:bookmarkStart w:id="0" w:name="_GoBack"/>
      <w:bookmarkEnd w:id="0"/>
      <w:r>
        <w:t>Цель и задачи охраны труда</w:t>
      </w:r>
    </w:p>
    <w:p w:rsidR="00275299" w:rsidRDefault="00275299" w:rsidP="00275299">
      <w:pPr>
        <w:rPr>
          <w:lang w:eastAsia="ru-RU"/>
        </w:rPr>
      </w:pPr>
      <w:r w:rsidRPr="00C60747">
        <w:rPr>
          <w:lang w:eastAsia="ru-RU"/>
        </w:rPr>
        <w:t xml:space="preserve">Охрана труда – это система законодательных актов, социально-экономических, организационных, технических, гигиенических и лечебно-профилактических мероприятий и средств, обеспечивающих безопасность, сохранение здоровья и работоспособности человека в процессе труда. Полностью безопасных и безвредных производственных процессов не существует. </w:t>
      </w:r>
    </w:p>
    <w:p w:rsidR="00275299" w:rsidRDefault="00275299" w:rsidP="00275299">
      <w:pPr>
        <w:rPr>
          <w:lang w:eastAsia="ru-RU"/>
        </w:rPr>
      </w:pPr>
      <w:r>
        <w:t>Согласно статье 221 Трудового кодекса Республики Беларусь «охрана труда</w:t>
      </w:r>
      <w:proofErr w:type="gramStart"/>
      <w:r>
        <w:t>»</w:t>
      </w:r>
      <w:proofErr w:type="gramEnd"/>
      <w:r>
        <w:t xml:space="preserve"> – это система обеспечения безопасности жизни и здоровья работников в процессе трудовой деятельности, включающая правовые, социально-экономические, организационные, технические, психофизиологические, санитарно-гигиенические, лечебно-профилактические, реабилитационные и иные </w:t>
      </w:r>
      <w:proofErr w:type="spellStart"/>
      <w:r>
        <w:t>мероприяия</w:t>
      </w:r>
      <w:proofErr w:type="spellEnd"/>
      <w:r>
        <w:t xml:space="preserve"> и средства.</w:t>
      </w:r>
    </w:p>
    <w:p w:rsidR="00275299" w:rsidRPr="00C60747" w:rsidRDefault="00275299" w:rsidP="00275299">
      <w:pPr>
        <w:rPr>
          <w:lang w:eastAsia="ru-RU"/>
        </w:rPr>
      </w:pPr>
      <w:r w:rsidRPr="00C60747">
        <w:rPr>
          <w:lang w:eastAsia="ru-RU"/>
        </w:rPr>
        <w:t>Задачи охраны труда – свести к минимальной вероятность поражения или заболевания работающего с одновременным обеспечением комфорта при максимальной производительности труда.</w:t>
      </w:r>
    </w:p>
    <w:p w:rsidR="00275299" w:rsidRPr="00C60747" w:rsidRDefault="00275299" w:rsidP="00275299">
      <w:pPr>
        <w:rPr>
          <w:lang w:eastAsia="ru-RU"/>
        </w:rPr>
      </w:pPr>
      <w:r w:rsidRPr="00C60747">
        <w:rPr>
          <w:lang w:eastAsia="ru-RU"/>
        </w:rPr>
        <w:t>На всех предприятиях создаются здоровые и безопасные условия труда, устанавливаются правовые основы регулирования отношений в области охраны труда между работодателями и работниками, а также создаются условия труда, соответствующие требованиям сохранения жизни и здоровья работников в процессе трудовой деятельности.</w:t>
      </w:r>
    </w:p>
    <w:p w:rsidR="00275299" w:rsidRPr="00C60747" w:rsidRDefault="00275299" w:rsidP="00275299">
      <w:pPr>
        <w:rPr>
          <w:lang w:eastAsia="ru-RU"/>
        </w:rPr>
      </w:pPr>
      <w:r w:rsidRPr="00C60747">
        <w:rPr>
          <w:lang w:eastAsia="ru-RU"/>
        </w:rPr>
        <w:t xml:space="preserve">Обеспечение здоровых и безопасных условий труда возлагается на администрацию предприятия. Администрация обязана внедрять современные средства техники безопасности, предупреждающие производственный травматизм, и обеспечивать санитарно-гигиенические условия, предотвращающие возникновение профессиональных заболеваний работников. </w:t>
      </w:r>
    </w:p>
    <w:p w:rsidR="00275299" w:rsidRPr="00C60747" w:rsidRDefault="00275299" w:rsidP="00275299">
      <w:pPr>
        <w:rPr>
          <w:lang w:eastAsia="ru-RU"/>
        </w:rPr>
      </w:pPr>
      <w:r w:rsidRPr="00C60747">
        <w:rPr>
          <w:lang w:eastAsia="ru-RU"/>
        </w:rPr>
        <w:lastRenderedPageBreak/>
        <w:t>Целью охраны труда является научный анализ условий труда, технологических процессов, аппаратуры и оборудования с точки зрения возможности возникновения появления опасных факторов, выделение вредных производственных веществ. На основе такого анализа определяются опасные участки производства, возможные аварийные ситуации и разрабатываются мероприятия по их устранению или ограничение последствий.</w:t>
      </w:r>
    </w:p>
    <w:p w:rsidR="00275299" w:rsidRDefault="00275299" w:rsidP="00275299">
      <w:pPr>
        <w:pStyle w:val="2"/>
      </w:pPr>
      <w:r>
        <w:t>7.2</w:t>
      </w:r>
      <w:r>
        <w:tab/>
        <w:t>Санитарно-</w:t>
      </w:r>
      <w:r w:rsidRPr="00C8452C">
        <w:t xml:space="preserve">гигиенические требования к помещениям с </w:t>
      </w:r>
      <w:r>
        <w:t>ПЭВМ</w:t>
      </w:r>
      <w:r w:rsidRPr="00C8452C">
        <w:t xml:space="preserve"> и </w:t>
      </w:r>
      <w:r>
        <w:t>ВДТ</w:t>
      </w:r>
    </w:p>
    <w:p w:rsidR="00275299" w:rsidRPr="00C60747" w:rsidRDefault="00275299" w:rsidP="00275299">
      <w:pPr>
        <w:rPr>
          <w:lang w:eastAsia="ru-RU"/>
        </w:rPr>
      </w:pPr>
      <w:r w:rsidRPr="00C60747">
        <w:rPr>
          <w:lang w:eastAsia="ru-RU"/>
        </w:rPr>
        <w:t>Не допускается размещение мест для пользователей ВДТ, ЭВМ и ПЭВМ во всех учреждениях образования в цокольных и подвальных помещениях.</w:t>
      </w:r>
    </w:p>
    <w:p w:rsidR="00275299" w:rsidRPr="00C60747" w:rsidRDefault="00275299" w:rsidP="00275299">
      <w:pPr>
        <w:rPr>
          <w:lang w:eastAsia="ru-RU"/>
        </w:rPr>
      </w:pPr>
      <w:r w:rsidRPr="00C60747">
        <w:rPr>
          <w:lang w:eastAsia="ru-RU"/>
        </w:rPr>
        <w:t>Площадь одного рабочего места для пользователей ВДТ, ЭВМ и ПЭВМ на базе электронно-лучевой трубки должна составлять не менее 6 кв. м.</w:t>
      </w:r>
    </w:p>
    <w:p w:rsidR="00275299" w:rsidRPr="00C60747" w:rsidRDefault="00275299" w:rsidP="00275299">
      <w:pPr>
        <w:rPr>
          <w:lang w:eastAsia="ru-RU"/>
        </w:rPr>
      </w:pPr>
      <w:r w:rsidRPr="00C60747">
        <w:rPr>
          <w:lang w:eastAsia="ru-RU"/>
        </w:rPr>
        <w:t>Минимальная площадь одного рабочего места для взрослых пользователей и обучающихся учреждений профессионально-технического, среднего специального и высшего образования с использованием ВДТ, ЭВМ и ПЭВМ на базе электронно-лучевой трубки может составлять не менее 4,5 кв. м при следующих условиях:</w:t>
      </w:r>
    </w:p>
    <w:p w:rsidR="00275299" w:rsidRPr="00C60747" w:rsidRDefault="00275299" w:rsidP="00275299">
      <w:pPr>
        <w:pStyle w:val="a4"/>
        <w:numPr>
          <w:ilvl w:val="0"/>
          <w:numId w:val="6"/>
        </w:numPr>
        <w:ind w:left="1418" w:hanging="567"/>
        <w:rPr>
          <w:lang w:eastAsia="ru-RU"/>
        </w:rPr>
      </w:pPr>
      <w:r w:rsidRPr="00C60747">
        <w:rPr>
          <w:lang w:eastAsia="ru-RU"/>
        </w:rPr>
        <w:t>отсутствие на рабочем месте периферийных устройств (принтер, сканер и другое);</w:t>
      </w:r>
    </w:p>
    <w:p w:rsidR="00275299" w:rsidRPr="00C60747" w:rsidRDefault="00275299" w:rsidP="00275299">
      <w:pPr>
        <w:pStyle w:val="a4"/>
        <w:numPr>
          <w:ilvl w:val="0"/>
          <w:numId w:val="6"/>
        </w:numPr>
        <w:ind w:left="1418" w:hanging="567"/>
        <w:rPr>
          <w:lang w:eastAsia="ru-RU"/>
        </w:rPr>
      </w:pPr>
      <w:r w:rsidRPr="00C60747">
        <w:rPr>
          <w:lang w:eastAsia="ru-RU"/>
        </w:rPr>
        <w:t>продолжительность работы должна составлять не более 4 ч в день.</w:t>
      </w:r>
    </w:p>
    <w:p w:rsidR="00275299" w:rsidRPr="00C60747" w:rsidRDefault="00275299" w:rsidP="00275299">
      <w:pPr>
        <w:rPr>
          <w:lang w:eastAsia="ru-RU"/>
        </w:rPr>
      </w:pPr>
      <w:r w:rsidRPr="00C60747">
        <w:rPr>
          <w:lang w:eastAsia="ru-RU"/>
        </w:rPr>
        <w:t>Площадь одного рабочего места для пользователей ВДТ, ЭВМ и ПЭВМ на базе плоских дискретных экранов (жидкокристаллические, плазменные и другие) должна составлять не менее 4,5 кв. м.</w:t>
      </w:r>
    </w:p>
    <w:p w:rsidR="00275299" w:rsidRPr="00C60747" w:rsidRDefault="00275299" w:rsidP="00275299">
      <w:pPr>
        <w:rPr>
          <w:lang w:eastAsia="ru-RU"/>
        </w:rPr>
      </w:pPr>
      <w:r w:rsidRPr="00C60747">
        <w:rPr>
          <w:lang w:eastAsia="ru-RU"/>
        </w:rPr>
        <w:t>При возведении и реконструкции зданий с помещениями для ВДТ, ЭВМ и ПЭВМ эти помещения следует проектировать высотой от пола до потолка не менее 3,0 м.</w:t>
      </w:r>
    </w:p>
    <w:p w:rsidR="00275299" w:rsidRPr="00C60747" w:rsidRDefault="00275299" w:rsidP="00275299">
      <w:pPr>
        <w:rPr>
          <w:lang w:eastAsia="ru-RU"/>
        </w:rPr>
      </w:pPr>
      <w:r w:rsidRPr="00C60747">
        <w:rPr>
          <w:lang w:eastAsia="ru-RU"/>
        </w:rPr>
        <w:lastRenderedPageBreak/>
        <w:t>При размещении рабочих мест с ВДТ, ЭВМ и ПЭВМ расстояние между рабочими столами с видеомониторами (в направлении тыла поверхности одного видеомонитора и экрана другого видеомонитора) должно быть не менее 2,0 м, а расстояние между боковыми поверхностями видеомониторов - не менее 1,2 м.</w:t>
      </w:r>
    </w:p>
    <w:p w:rsidR="00275299" w:rsidRPr="00C60747" w:rsidRDefault="00275299" w:rsidP="00275299">
      <w:pPr>
        <w:rPr>
          <w:lang w:eastAsia="ru-RU"/>
        </w:rPr>
      </w:pPr>
      <w:r w:rsidRPr="00C60747">
        <w:rPr>
          <w:lang w:eastAsia="ru-RU"/>
        </w:rPr>
        <w:t>Рабочие места с ВДТ, ЭВМ и ПЭВМ в помещениях с источниками вредных производственных факторов должны размещаться в изолированных кабинах с организованным воздухообменом.</w:t>
      </w:r>
    </w:p>
    <w:p w:rsidR="00275299" w:rsidRPr="00C60747" w:rsidRDefault="00275299" w:rsidP="00275299">
      <w:pPr>
        <w:rPr>
          <w:lang w:eastAsia="ru-RU"/>
        </w:rPr>
      </w:pPr>
      <w:r w:rsidRPr="00C60747">
        <w:rPr>
          <w:lang w:eastAsia="ru-RU"/>
        </w:rPr>
        <w:t>Рабочие места с ВДТ, ЭВМ и ПЭВМ при выполнении творческой работы, требующей значительного умственного напряжения или высокой концентрации внимания, рекомендуется изолировать друг от друга перегородками высотой 1,5—2,0 м.</w:t>
      </w:r>
    </w:p>
    <w:p w:rsidR="00275299" w:rsidRPr="00C60747" w:rsidRDefault="00275299" w:rsidP="00275299">
      <w:pPr>
        <w:rPr>
          <w:lang w:eastAsia="ru-RU"/>
        </w:rPr>
      </w:pPr>
      <w:r w:rsidRPr="00C60747">
        <w:rPr>
          <w:lang w:eastAsia="ru-RU"/>
        </w:rPr>
        <w:t>Помещения, где размещаются рабочие места с ВДТ, ЭВМ и ПЭВМ, должны быть оборудованы защитным заземлением (</w:t>
      </w:r>
      <w:proofErr w:type="spellStart"/>
      <w:r w:rsidRPr="00C60747">
        <w:rPr>
          <w:lang w:eastAsia="ru-RU"/>
        </w:rPr>
        <w:t>занулением</w:t>
      </w:r>
      <w:proofErr w:type="spellEnd"/>
      <w:r w:rsidRPr="00C60747">
        <w:rPr>
          <w:lang w:eastAsia="ru-RU"/>
        </w:rPr>
        <w:t>) в соответствии с техническими требованиями по эксплуатации.</w:t>
      </w:r>
    </w:p>
    <w:p w:rsidR="00275299" w:rsidRPr="00C60747" w:rsidRDefault="00275299" w:rsidP="00275299">
      <w:pPr>
        <w:rPr>
          <w:lang w:eastAsia="ru-RU"/>
        </w:rPr>
      </w:pPr>
      <w:r w:rsidRPr="00C60747">
        <w:rPr>
          <w:lang w:eastAsia="ru-RU"/>
        </w:rPr>
        <w:t>Запрещается размещать рабочие места с ВДТ, ЭВМ и ПЭВМ на расстоянии менее 10 м от силовых кабелей, вводов и высоковольтных трансформаторов.</w:t>
      </w:r>
    </w:p>
    <w:p w:rsidR="00275299" w:rsidRPr="00C60747" w:rsidRDefault="00275299" w:rsidP="00275299">
      <w:pPr>
        <w:rPr>
          <w:lang w:eastAsia="ru-RU"/>
        </w:rPr>
      </w:pPr>
      <w:r w:rsidRPr="00C60747">
        <w:rPr>
          <w:lang w:eastAsia="ru-RU"/>
        </w:rPr>
        <w:t>Помещения, в которых для работы используются преимущественно ВДТ, ЭВМ и ПЭВМ (диспетчерские, операторские, расчетные, классы и другие), не должны граничить с помещениями, в которых уровни шума и вибрации превышают нормируемые значения для данной категории проводимых в них работ и их типа (механические цеха, мастерские, гимнастические залы и другие) согласно Санитарным нормам и правилам, устанавливающим ПДУ шума на рабочих местах, в помещениях жилых и общественных зданий.</w:t>
      </w:r>
    </w:p>
    <w:p w:rsidR="00275299" w:rsidRPr="00C60747" w:rsidRDefault="00275299" w:rsidP="00275299">
      <w:pPr>
        <w:rPr>
          <w:lang w:eastAsia="ru-RU"/>
        </w:rPr>
      </w:pPr>
      <w:r w:rsidRPr="00C60747">
        <w:rPr>
          <w:lang w:eastAsia="ru-RU"/>
        </w:rPr>
        <w:t>Звукоизоляция ограждающих конструкций помещений с ВДТ, ЭВМ и ПЭВМ должна обеспечивать нормируемые параметры шума в них.</w:t>
      </w:r>
    </w:p>
    <w:p w:rsidR="00275299" w:rsidRPr="00C60747" w:rsidRDefault="00275299" w:rsidP="00275299">
      <w:pPr>
        <w:rPr>
          <w:lang w:eastAsia="ru-RU"/>
        </w:rPr>
      </w:pPr>
      <w:r w:rsidRPr="00C60747">
        <w:rPr>
          <w:lang w:eastAsia="ru-RU"/>
        </w:rPr>
        <w:t>Помещения с ВДТ, ЭВМ и ПЭВМ должны оборудоваться системами отопления, кондиционирования воздуха или эффективной приточно-</w:t>
      </w:r>
      <w:r w:rsidRPr="00C60747">
        <w:rPr>
          <w:lang w:eastAsia="ru-RU"/>
        </w:rPr>
        <w:lastRenderedPageBreak/>
        <w:t>вытяжной вентиляцией.</w:t>
      </w:r>
    </w:p>
    <w:p w:rsidR="00275299" w:rsidRPr="00C60747" w:rsidRDefault="00275299" w:rsidP="00275299">
      <w:pPr>
        <w:rPr>
          <w:lang w:eastAsia="ru-RU"/>
        </w:rPr>
      </w:pPr>
      <w:r w:rsidRPr="00C60747">
        <w:rPr>
          <w:lang w:eastAsia="ru-RU"/>
        </w:rPr>
        <w:t xml:space="preserve">Нормируемые параметры микроклимата, ионного состава воздуха, содержание вредных веществ в нем должны отвечать требованиям Гигиенического норматива «Предельно допустимые уровни нормируемых параметров при работе с </w:t>
      </w:r>
      <w:proofErr w:type="spellStart"/>
      <w:r w:rsidRPr="00C60747">
        <w:rPr>
          <w:lang w:eastAsia="ru-RU"/>
        </w:rPr>
        <w:t>видеодисплейными</w:t>
      </w:r>
      <w:proofErr w:type="spellEnd"/>
      <w:r w:rsidRPr="00C60747">
        <w:rPr>
          <w:lang w:eastAsia="ru-RU"/>
        </w:rPr>
        <w:t xml:space="preserve"> терминалами и электронно-вычислительными машинами», утвержденного постановлением Министерства здравоохранения Республики Беларусь от 28 июня 2013 г. № 59.</w:t>
      </w:r>
    </w:p>
    <w:p w:rsidR="00275299" w:rsidRPr="00C60747" w:rsidRDefault="00275299" w:rsidP="00275299">
      <w:pPr>
        <w:rPr>
          <w:lang w:eastAsia="ru-RU"/>
        </w:rPr>
      </w:pPr>
      <w:r w:rsidRPr="00C60747">
        <w:rPr>
          <w:lang w:eastAsia="ru-RU"/>
        </w:rPr>
        <w:t>Освещенность на поверхности стола в зоне размещения рабочего документа должна быть 300-500 люкс. Освещение не должно создавать бликов на поверхности экрана. Освещенность поверхности экрана не должна быть более 300 люкс.</w:t>
      </w:r>
    </w:p>
    <w:p w:rsidR="00275299" w:rsidRPr="00C60747" w:rsidRDefault="00275299" w:rsidP="00275299">
      <w:pPr>
        <w:rPr>
          <w:lang w:eastAsia="ru-RU"/>
        </w:rPr>
      </w:pPr>
      <w:r w:rsidRPr="00C60747">
        <w:rPr>
          <w:lang w:eastAsia="ru-RU"/>
        </w:rPr>
        <w:t xml:space="preserve">Полимерные материалы, используемые для внутренней отделки интерьера помещений с ВДТ, ЭВМ и ПЭВМ, должны соответствовать требованиям санитарных норм и правил, устанавливающих критерии гигиенической безопасности полимерных и </w:t>
      </w:r>
      <w:proofErr w:type="spellStart"/>
      <w:r w:rsidRPr="00C60747">
        <w:rPr>
          <w:lang w:eastAsia="ru-RU"/>
        </w:rPr>
        <w:t>полимеросодержащих</w:t>
      </w:r>
      <w:proofErr w:type="spellEnd"/>
      <w:r w:rsidRPr="00C60747">
        <w:rPr>
          <w:lang w:eastAsia="ru-RU"/>
        </w:rPr>
        <w:t xml:space="preserve"> материалов, изделий и конструкций, применяемых в промышленном и гражданском строительстве.</w:t>
      </w:r>
    </w:p>
    <w:p w:rsidR="00275299" w:rsidRPr="00C60747" w:rsidRDefault="00275299" w:rsidP="00275299">
      <w:pPr>
        <w:rPr>
          <w:lang w:eastAsia="ru-RU"/>
        </w:rPr>
      </w:pPr>
      <w:r w:rsidRPr="00C60747">
        <w:rPr>
          <w:lang w:eastAsia="ru-RU"/>
        </w:rPr>
        <w:t>Запрещается применение полимерных материалов (древесностружечные плиты, слоистый бумажный пластик, синтетические ковровые покрытия и др.) для отделки внутреннего интерьера помещений с ВДТ, ЭВМ и ПЭВМ в учреждениях образования.</w:t>
      </w:r>
    </w:p>
    <w:p w:rsidR="00275299" w:rsidRPr="00C60747" w:rsidRDefault="00275299" w:rsidP="00275299">
      <w:pPr>
        <w:rPr>
          <w:lang w:eastAsia="ru-RU"/>
        </w:rPr>
      </w:pPr>
      <w:r w:rsidRPr="00C60747">
        <w:rPr>
          <w:lang w:eastAsia="ru-RU"/>
        </w:rPr>
        <w:t>Оконные проемы в помещениях с персональными ЭВМ должны быть оборудованы регулируемыми светозащитными устройствами типа: жалюзи, занавеси, внешние козырьки и др.</w:t>
      </w:r>
    </w:p>
    <w:p w:rsidR="00275299" w:rsidRPr="00C60747" w:rsidRDefault="00275299" w:rsidP="00275299">
      <w:pPr>
        <w:rPr>
          <w:lang w:eastAsia="ru-RU"/>
        </w:rPr>
      </w:pPr>
      <w:r w:rsidRPr="00C60747">
        <w:rPr>
          <w:lang w:eastAsia="ru-RU"/>
        </w:rPr>
        <w:t>Конструкция рабочего стола должна обеспечивать оптимальное размещение на рабочей поверхности используемого оборудования с учетом его количества и конструктивных особенностей (размер ВДТ и ЭВМ, клавиатуры, пюпитра и др.), характера выполняемой работы. При этом допускается использование рабочих столов различных конструкций, отвечающих современным требованиям эргономики.</w:t>
      </w:r>
    </w:p>
    <w:p w:rsidR="00275299" w:rsidRPr="00C60747" w:rsidRDefault="00275299" w:rsidP="00275299">
      <w:pPr>
        <w:rPr>
          <w:lang w:eastAsia="ru-RU"/>
        </w:rPr>
      </w:pPr>
      <w:r w:rsidRPr="00C60747">
        <w:rPr>
          <w:lang w:eastAsia="ru-RU"/>
        </w:rPr>
        <w:lastRenderedPageBreak/>
        <w:t>Конструкция рабочего стула (кресла) должна обеспечивать поддержание рациональной рабочей позы при работе на персональной ЭВМ, позволять изменять позу с целью снижения статического напряжения мышц шейно-плечевой области и спины для предупреждения развития утомления.</w:t>
      </w:r>
    </w:p>
    <w:p w:rsidR="00275299" w:rsidRPr="00C60747" w:rsidRDefault="00275299" w:rsidP="00275299">
      <w:pPr>
        <w:rPr>
          <w:lang w:eastAsia="ru-RU"/>
        </w:rPr>
      </w:pPr>
      <w:r w:rsidRPr="00C60747">
        <w:rPr>
          <w:lang w:eastAsia="ru-RU"/>
        </w:rPr>
        <w:t>Тип рабочего стула (кресла) должен выбираться в зависимости от характера и продолжительности работы с учетом роста пользователя.</w:t>
      </w:r>
    </w:p>
    <w:p w:rsidR="00275299" w:rsidRPr="00C60747" w:rsidRDefault="00275299" w:rsidP="00275299">
      <w:pPr>
        <w:rPr>
          <w:lang w:eastAsia="ru-RU"/>
        </w:rPr>
      </w:pPr>
      <w:r w:rsidRPr="00C60747">
        <w:rPr>
          <w:lang w:eastAsia="ru-RU"/>
        </w:rPr>
        <w:t>Высота рабочей поверхности стола для взрослых пользователей должна регулироваться в пределах 680-800 мм, при отсутствии такой возможности высота рабочей поверхности стола должна составлять 725 мм.</w:t>
      </w:r>
    </w:p>
    <w:p w:rsidR="00275299" w:rsidRPr="00C60747" w:rsidRDefault="00275299" w:rsidP="00275299">
      <w:pPr>
        <w:rPr>
          <w:lang w:eastAsia="ru-RU"/>
        </w:rPr>
      </w:pPr>
      <w:r w:rsidRPr="00C60747">
        <w:rPr>
          <w:lang w:eastAsia="ru-RU"/>
        </w:rPr>
        <w:t>Рабочий стол должен иметь пространство для ног высотой не менее 600 мм, шириной - не менее 500 мм, глубиной на уровне колен - не менее 450 мм и на уровне вытянутых ног - не менее 650 мм.</w:t>
      </w:r>
    </w:p>
    <w:p w:rsidR="00275299" w:rsidRPr="00C60747" w:rsidRDefault="00275299" w:rsidP="00275299">
      <w:pPr>
        <w:rPr>
          <w:lang w:eastAsia="ru-RU"/>
        </w:rPr>
      </w:pPr>
      <w:r w:rsidRPr="00C60747">
        <w:rPr>
          <w:lang w:eastAsia="ru-RU"/>
        </w:rPr>
        <w:t>Рабочее место должно быть оборудовано подставкой для ног, имеющей ширину не менее 300 мм, глубину - не менее 400 мм, регулировку по высоте в пределах до 150 мм и по углу наклона опорной поверхности подставки до 20 градусов. Поверхность подставки должна быть рифленой и иметь по переднему краю бортик высотой 10 мм.</w:t>
      </w:r>
    </w:p>
    <w:p w:rsidR="00275299" w:rsidRPr="00C60747" w:rsidRDefault="00275299" w:rsidP="00275299">
      <w:pPr>
        <w:rPr>
          <w:lang w:eastAsia="ru-RU"/>
        </w:rPr>
      </w:pPr>
      <w:r w:rsidRPr="00C60747">
        <w:rPr>
          <w:lang w:eastAsia="ru-RU"/>
        </w:rPr>
        <w:t>Рабочее место с персональной ЭВМ целесообразно оснастить легко перемещаемым пюпитром для документов.</w:t>
      </w:r>
    </w:p>
    <w:p w:rsidR="00275299" w:rsidRPr="00C60747" w:rsidRDefault="00275299" w:rsidP="00275299">
      <w:pPr>
        <w:rPr>
          <w:lang w:eastAsia="ru-RU"/>
        </w:rPr>
      </w:pPr>
      <w:r w:rsidRPr="00C60747">
        <w:rPr>
          <w:lang w:eastAsia="ru-RU"/>
        </w:rPr>
        <w:t>Клавиатуру следует располагать на поверхности стола на расстоянии 100-300 мм от края, обращенного к пользователю, или на специальной регулируемой по высоте рабочей поверхности, отделенной от основной столешницы.</w:t>
      </w:r>
    </w:p>
    <w:p w:rsidR="00275299" w:rsidRPr="00C60747" w:rsidRDefault="00275299" w:rsidP="00275299">
      <w:pPr>
        <w:rPr>
          <w:lang w:eastAsia="ru-RU"/>
        </w:rPr>
      </w:pPr>
      <w:r w:rsidRPr="00C60747">
        <w:rPr>
          <w:lang w:eastAsia="ru-RU"/>
        </w:rPr>
        <w:t>Рабочий стул (кресло) должен быть подъемно-поворотным и регулируемым по высоте и углам наклона сиденья и спинки, а также расстоянию спинки от переднего края сиденья, при этом регулировка каждого параметра должна быть независимой, легко осуществляемой и иметь надежную фиксацию.</w:t>
      </w:r>
    </w:p>
    <w:p w:rsidR="00275299" w:rsidRPr="00C60747" w:rsidRDefault="00275299" w:rsidP="00275299">
      <w:pPr>
        <w:rPr>
          <w:lang w:eastAsia="ru-RU"/>
        </w:rPr>
      </w:pPr>
      <w:r w:rsidRPr="00C60747">
        <w:rPr>
          <w:lang w:eastAsia="ru-RU"/>
        </w:rPr>
        <w:t xml:space="preserve">Поверхность сиденья, спинки и других элементов стула (кресла) должна быть полумягкой, с нескользящим, </w:t>
      </w:r>
      <w:proofErr w:type="spellStart"/>
      <w:r w:rsidRPr="00C60747">
        <w:rPr>
          <w:lang w:eastAsia="ru-RU"/>
        </w:rPr>
        <w:t>неэлектризующимся</w:t>
      </w:r>
      <w:proofErr w:type="spellEnd"/>
      <w:r w:rsidRPr="00C60747">
        <w:rPr>
          <w:lang w:eastAsia="ru-RU"/>
        </w:rPr>
        <w:t xml:space="preserve"> и </w:t>
      </w:r>
      <w:r w:rsidRPr="00C60747">
        <w:rPr>
          <w:lang w:eastAsia="ru-RU"/>
        </w:rPr>
        <w:lastRenderedPageBreak/>
        <w:t>воздухопроницаемым покрытием, обеспечивающим легкую очистку от загрязнений.</w:t>
      </w:r>
    </w:p>
    <w:p w:rsidR="00275299" w:rsidRPr="00C60747" w:rsidRDefault="00275299" w:rsidP="00275299">
      <w:pPr>
        <w:rPr>
          <w:lang w:eastAsia="ru-RU"/>
        </w:rPr>
      </w:pPr>
      <w:r w:rsidRPr="00C60747">
        <w:rPr>
          <w:lang w:eastAsia="ru-RU"/>
        </w:rPr>
        <w:t>Экран видеомонитора должен находиться от глаз пользователя на оптимальном расстоянии 600-700 мм, но не ближе 500 мм с учетом размеров алфавитно-цифровых знаков и символов.</w:t>
      </w:r>
    </w:p>
    <w:p w:rsidR="00275299" w:rsidRPr="00C60747" w:rsidRDefault="00275299" w:rsidP="00275299">
      <w:pPr>
        <w:rPr>
          <w:lang w:eastAsia="ru-RU"/>
        </w:rPr>
      </w:pPr>
      <w:r w:rsidRPr="00C60747">
        <w:rPr>
          <w:lang w:eastAsia="ru-RU"/>
        </w:rPr>
        <w:t>В помещениях с персональными ЭВМ ежедневно должна проводиться влажная уборка.</w:t>
      </w:r>
    </w:p>
    <w:p w:rsidR="00A9055A" w:rsidRDefault="00A9055A"/>
    <w:sectPr w:rsidR="00A905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A2DAB"/>
    <w:multiLevelType w:val="multilevel"/>
    <w:tmpl w:val="CE4A6956"/>
    <w:numStyleLink w:val="121"/>
  </w:abstractNum>
  <w:abstractNum w:abstractNumId="1" w15:restartNumberingAfterBreak="0">
    <w:nsid w:val="3AF87CE3"/>
    <w:multiLevelType w:val="multilevel"/>
    <w:tmpl w:val="06AA1D9A"/>
    <w:lvl w:ilvl="0">
      <w:start w:val="1"/>
      <w:numFmt w:val="decimal"/>
      <w:pStyle w:val="1"/>
      <w:lvlText w:val="%1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06" w:hanging="55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  <w:b/>
      </w:rPr>
    </w:lvl>
  </w:abstractNum>
  <w:abstractNum w:abstractNumId="2" w15:restartNumberingAfterBreak="0">
    <w:nsid w:val="44275D70"/>
    <w:multiLevelType w:val="multilevel"/>
    <w:tmpl w:val="CE4A6956"/>
    <w:styleLink w:val="121"/>
    <w:lvl w:ilvl="0">
      <w:start w:val="1"/>
      <w:numFmt w:val="bullet"/>
      <w:pStyle w:val="1212"/>
      <w:lvlText w:val="−"/>
      <w:lvlJc w:val="left"/>
      <w:pPr>
        <w:tabs>
          <w:tab w:val="num" w:pos="1767"/>
        </w:tabs>
        <w:ind w:left="1767" w:hanging="567"/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985"/>
        </w:tabs>
        <w:ind w:left="1985" w:hanging="567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52"/>
        </w:tabs>
        <w:ind w:left="2552" w:hanging="567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tabs>
          <w:tab w:val="num" w:pos="3119"/>
        </w:tabs>
        <w:ind w:left="3119" w:hanging="567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tabs>
          <w:tab w:val="num" w:pos="3686"/>
        </w:tabs>
        <w:ind w:left="3686" w:hanging="567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tabs>
          <w:tab w:val="num" w:pos="4253"/>
        </w:tabs>
        <w:ind w:left="4253" w:hanging="567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tabs>
          <w:tab w:val="num" w:pos="4820"/>
        </w:tabs>
        <w:ind w:left="4820" w:hanging="567"/>
      </w:pPr>
      <w:rPr>
        <w:rFonts w:ascii="Courier New" w:hAnsi="Courier New" w:hint="default"/>
      </w:rPr>
    </w:lvl>
    <w:lvl w:ilvl="7">
      <w:start w:val="1"/>
      <w:numFmt w:val="bullet"/>
      <w:lvlText w:val=""/>
      <w:lvlJc w:val="left"/>
      <w:pPr>
        <w:tabs>
          <w:tab w:val="num" w:pos="5387"/>
        </w:tabs>
        <w:ind w:left="5387" w:hanging="567"/>
      </w:pPr>
      <w:rPr>
        <w:rFonts w:ascii="Symbol" w:hAnsi="Symbol" w:hint="default"/>
      </w:rPr>
    </w:lvl>
    <w:lvl w:ilvl="8">
      <w:start w:val="1"/>
      <w:numFmt w:val="bullet"/>
      <w:lvlText w:val=""/>
      <w:lvlJc w:val="left"/>
      <w:pPr>
        <w:tabs>
          <w:tab w:val="num" w:pos="5954"/>
        </w:tabs>
        <w:ind w:left="5954" w:hanging="567"/>
      </w:pPr>
      <w:rPr>
        <w:rFonts w:ascii="Wingdings" w:hAnsi="Wingdings" w:hint="default"/>
      </w:rPr>
    </w:lvl>
  </w:abstractNum>
  <w:abstractNum w:abstractNumId="3" w15:restartNumberingAfterBreak="0">
    <w:nsid w:val="460F6AA6"/>
    <w:multiLevelType w:val="hybridMultilevel"/>
    <w:tmpl w:val="6B5635F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6F56132A"/>
    <w:multiLevelType w:val="hybridMultilevel"/>
    <w:tmpl w:val="6024A8F4"/>
    <w:lvl w:ilvl="0" w:tplc="E4008270">
      <w:start w:val="7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0"/>
    <w:lvlOverride w:ilvl="0">
      <w:lvl w:ilvl="0">
        <w:start w:val="1"/>
        <w:numFmt w:val="bullet"/>
        <w:pStyle w:val="1212"/>
        <w:lvlText w:val="−"/>
        <w:lvlJc w:val="left"/>
        <w:pPr>
          <w:tabs>
            <w:tab w:val="num" w:pos="1767"/>
          </w:tabs>
          <w:ind w:left="1767" w:hanging="567"/>
        </w:pPr>
        <w:rPr>
          <w:rFonts w:ascii="Times New Roman" w:hAnsi="Times New Roman" w:cs="Times New Roman" w:hint="default"/>
          <w:sz w:val="24"/>
        </w:rPr>
      </w:lvl>
    </w:lvlOverride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6E7"/>
    <w:rsid w:val="00020AF6"/>
    <w:rsid w:val="00091C3D"/>
    <w:rsid w:val="00275299"/>
    <w:rsid w:val="00512787"/>
    <w:rsid w:val="005866D6"/>
    <w:rsid w:val="006F66E7"/>
    <w:rsid w:val="00A90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75869"/>
  <w15:chartTrackingRefBased/>
  <w15:docId w15:val="{D2664EAB-9A2B-4287-9D18-73A0B79B9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5299"/>
    <w:pPr>
      <w:widowControl w:val="0"/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20AF6"/>
    <w:pPr>
      <w:numPr>
        <w:numId w:val="3"/>
      </w:numPr>
      <w:spacing w:after="480"/>
      <w:outlineLvl w:val="0"/>
    </w:pPr>
    <w:rPr>
      <w:rFonts w:eastAsia="Times New Roman" w:cs="Times New Roman"/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020AF6"/>
    <w:pPr>
      <w:spacing w:before="360" w:after="480"/>
      <w:ind w:left="851" w:firstLine="0"/>
      <w:outlineLvl w:val="1"/>
    </w:pPr>
    <w:rPr>
      <w:rFonts w:eastAsia="Times New Roman" w:cs="Times New Roman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020AF6"/>
    <w:pPr>
      <w:keepNext/>
      <w:keepLines/>
      <w:spacing w:before="360" w:after="240"/>
      <w:outlineLvl w:val="2"/>
    </w:pPr>
    <w:rPr>
      <w:rFonts w:eastAsiaTheme="majorEastAsia" w:cs="Times New Roman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0AF6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20AF6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20AF6"/>
    <w:rPr>
      <w:rFonts w:ascii="Times New Roman" w:eastAsiaTheme="majorEastAsia" w:hAnsi="Times New Roman" w:cs="Times New Roman"/>
      <w:b/>
      <w:sz w:val="28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020AF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20AF6"/>
    <w:pPr>
      <w:ind w:left="720"/>
      <w:contextualSpacing/>
    </w:pPr>
    <w:rPr>
      <w:rFonts w:eastAsia="Times New Roman" w:cs="Times New Roman"/>
    </w:rPr>
  </w:style>
  <w:style w:type="paragraph" w:customStyle="1" w:styleId="a5">
    <w:name w:val="Изображение"/>
    <w:basedOn w:val="a"/>
    <w:qFormat/>
    <w:rsid w:val="00020AF6"/>
    <w:pPr>
      <w:spacing w:before="120" w:after="120"/>
      <w:ind w:firstLine="0"/>
      <w:jc w:val="center"/>
    </w:pPr>
    <w:rPr>
      <w:rFonts w:eastAsia="Times New Roman" w:cs="Times New Roman"/>
      <w:noProof/>
    </w:rPr>
  </w:style>
  <w:style w:type="character" w:styleId="a6">
    <w:name w:val="Strong"/>
    <w:basedOn w:val="a0"/>
    <w:uiPriority w:val="22"/>
    <w:qFormat/>
    <w:rsid w:val="00020AF6"/>
    <w:rPr>
      <w:rFonts w:ascii="Times New Roman" w:hAnsi="Times New Roman"/>
      <w:b/>
      <w:bCs/>
      <w:sz w:val="28"/>
    </w:rPr>
  </w:style>
  <w:style w:type="paragraph" w:customStyle="1" w:styleId="1212">
    <w:name w:val="АбзацМ 12пт 1.2 интервал"/>
    <w:basedOn w:val="a"/>
    <w:qFormat/>
    <w:rsid w:val="00275299"/>
    <w:pPr>
      <w:keepLines/>
      <w:widowControl/>
      <w:numPr>
        <w:numId w:val="5"/>
      </w:numPr>
      <w:suppressAutoHyphens/>
      <w:autoSpaceDE w:val="0"/>
      <w:autoSpaceDN w:val="0"/>
      <w:adjustRightInd w:val="0"/>
      <w:spacing w:before="60" w:after="60" w:line="288" w:lineRule="auto"/>
    </w:pPr>
    <w:rPr>
      <w:rFonts w:eastAsia="Times New Roman" w:cs="Times New Roman"/>
      <w:szCs w:val="20"/>
      <w:lang w:eastAsia="ru-RU"/>
    </w:rPr>
  </w:style>
  <w:style w:type="numbering" w:customStyle="1" w:styleId="121">
    <w:name w:val="Маркированный 12пт 1 интервал"/>
    <w:uiPriority w:val="99"/>
    <w:rsid w:val="00275299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1289</Words>
  <Characters>7351</Characters>
  <Application>Microsoft Office Word</Application>
  <DocSecurity>0</DocSecurity>
  <Lines>61</Lines>
  <Paragraphs>17</Paragraphs>
  <ScaleCrop>false</ScaleCrop>
  <Company/>
  <LinksUpToDate>false</LinksUpToDate>
  <CharactersWithSpaces>8623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 Est</dc:creator>
  <cp:keywords/>
  <dc:description/>
  <cp:lastModifiedBy>Delictum Est</cp:lastModifiedBy>
  <cp:revision>2</cp:revision>
  <dcterms:created xsi:type="dcterms:W3CDTF">2019-06-04T12:54:00Z</dcterms:created>
  <dcterms:modified xsi:type="dcterms:W3CDTF">2019-06-04T12:55:00Z</dcterms:modified>
</cp:coreProperties>
</file>