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지역 활동 변화 및 지원 검토 보고서</w:t>
      </w:r>
    </w:p>
    <w:p>
      <w:r>
        <w:t>지역 집계자료의 변화 신호를 확인하고 후속 검토 사항을 정리한 담당자 검토용 초안입니다. 개인의 고립 여부를 판정하거나 기관 연계를 확정하는 문서가 아닙니다.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r>
              <w:t>작성 부서 및 작성자</w:t>
            </w:r>
          </w:p>
        </w:tc>
        <w:tc>
          <w:tcPr>
            <w:tcW w:type="dxa" w:w="4706"/>
          </w:tcPr>
          <w:p>
            <w:r>
              <w:t>강남구 복지정책과 / 시연 담당자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t>작성일</w:t>
            </w:r>
          </w:p>
        </w:tc>
        <w:tc>
          <w:tcPr>
            <w:tcW w:type="dxa" w:w="4706"/>
          </w:tcPr>
          <w:p>
            <w:r>
              <w:t>2026-10-02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t>대상 지역 및 기간</w:t>
            </w:r>
          </w:p>
        </w:tc>
        <w:tc>
          <w:tcPr>
            <w:tcW w:type="dxa" w:w="4706"/>
          </w:tcPr>
          <w:p>
            <w:r>
              <w:t>강남구 / 2025-12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t>자료 및 분석 버전</w:t>
            </w:r>
          </w:p>
        </w:tc>
        <w:tc>
          <w:tcPr>
            <w:tcW w:type="dxa" w:w="4706"/>
          </w:tcPr>
          <w:p>
            <w:r>
              <w:t>시연 예제 월별 CSV / risk-analysis-v1 / DB1 반영 자료</w:t>
            </w:r>
          </w:p>
        </w:tc>
      </w:tr>
    </w:tbl>
    <w:p>
      <w:pPr>
        <w:pStyle w:val="Heading1"/>
      </w:pPr>
      <w:r>
        <w:t>1 검토 요약</w:t>
      </w:r>
    </w:p>
    <w:p>
      <w:r>
        <w:t>해당 조건에서 확인할 변화 후보는 2건입니다. 아래 수치는 저장된 분석 결과이며, 자료 부족 또는 과거 이력 부족은 정상 판정과 구분하여 확인해야 합니다.</w:t>
      </w:r>
    </w:p>
    <w:p>
      <w:pPr>
        <w:pStyle w:val="Heading1"/>
      </w:pPr>
      <w:r>
        <w:t>2 관찰 사실과 탐지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</w:tcPr>
          <w:p>
            <w:r>
              <w:t>행정동 및 지표</w:t>
            </w:r>
          </w:p>
        </w:tc>
        <w:tc>
          <w:tcPr>
            <w:tcW w:type="dxa" w:w="2353"/>
          </w:tcPr>
          <w:p>
            <w:r>
              <w:t>전월 변화율</w:t>
            </w:r>
          </w:p>
        </w:tc>
        <w:tc>
          <w:tcPr>
            <w:tcW w:type="dxa" w:w="2353"/>
          </w:tcPr>
          <w:p>
            <w:r>
              <w:t>상대 변화량</w:t>
            </w:r>
          </w:p>
        </w:tc>
        <w:tc>
          <w:tcPr>
            <w:tcW w:type="dxa" w:w="2353"/>
          </w:tcPr>
          <w:p>
            <w:r>
              <w:t>Robust Z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도곡2동</w:t>
              <w:br/>
              <w:t>평일 저외출 비율</w:t>
            </w:r>
          </w:p>
        </w:tc>
        <w:tc>
          <w:tcPr>
            <w:tcW w:type="dxa" w:w="2353"/>
          </w:tcPr>
          <w:p>
            <w:r>
              <w:t>+10.7%</w:t>
            </w:r>
          </w:p>
        </w:tc>
        <w:tc>
          <w:tcPr>
            <w:tcW w:type="dxa" w:w="2353"/>
          </w:tcPr>
          <w:p>
            <w:r>
              <w:t>+12.5%p</w:t>
            </w:r>
          </w:p>
        </w:tc>
        <w:tc>
          <w:tcPr>
            <w:tcW w:type="dxa" w:w="2353"/>
          </w:tcPr>
          <w:p>
            <w:r>
              <w:t>3.35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도곡2동</w:t>
              <w:br/>
              <w:t>매우 낮은 외출 비율</w:t>
            </w:r>
          </w:p>
        </w:tc>
        <w:tc>
          <w:tcPr>
            <w:tcW w:type="dxa" w:w="2353"/>
          </w:tcPr>
          <w:p>
            <w:r>
              <w:t>+22.7%</w:t>
            </w:r>
          </w:p>
        </w:tc>
        <w:tc>
          <w:tcPr>
            <w:tcW w:type="dxa" w:w="2353"/>
          </w:tcPr>
          <w:p>
            <w:r>
              <w:t>+23.6%p</w:t>
            </w:r>
          </w:p>
        </w:tc>
        <w:tc>
          <w:tcPr>
            <w:tcW w:type="dxa" w:w="2353"/>
          </w:tcPr>
          <w:p>
            <w:r>
              <w:t>4.69</w:t>
            </w:r>
          </w:p>
        </w:tc>
      </w:tr>
    </w:tbl>
    <w:p>
      <w:pPr>
        <w:pStyle w:val="Heading1"/>
      </w:pPr>
      <w:r>
        <w:t>3 지역 맥락과 검토 사항</w:t>
      </w:r>
    </w:p>
    <w:p>
      <w:r>
        <w:t>지역 유형: 중간활동·다인가구 중심형 활동 강도는 중간 수준이며, 3인·4인 이상 가구 비중이 상대적으로 높은 지역 유형입니다.</w:t>
      </w:r>
    </w:p>
    <w:p>
      <w:r>
        <w:t>활동 변화가 계절·지역 행사·수집 범위 변경에 따른 것인지 확인합니다. 지역 복지관·행정복지센터의 사회참여 및 생활 상담 자원을 검토하되 실제 사업·연락처·이용 조건은 별도 확인해야 합니다.</w:t>
      </w:r>
    </w:p>
    <w:p>
      <w:pPr>
        <w:pStyle w:val="Heading1"/>
      </w:pPr>
      <w:r>
        <w:t>4 담당자 검토 의견 및 후속 조치</w:t>
      </w:r>
    </w:p>
    <w:p>
      <w:r>
        <w:t>동별 변화 원인을 확인하고 지역 복지관의 프로그램 운영 여부와 이용 조건을 검토합니다.</w:t>
      </w:r>
    </w:p>
    <w:p>
      <w:pPr>
        <w:pStyle w:val="Heading1"/>
      </w:pPr>
      <w:r>
        <w:t>5 분석 기준과 자료 출처</w:t>
      </w:r>
    </w:p>
    <w:p>
      <w:r>
        <w:t>상대 변화량은 동의 전월 변화율에서 같은 달 동 중앙값을 뺀 값입니다. 위험 방향 상대 변화 5%p 이상과 Robust Z-score 2.5 이상을 함께 적용합니다. 과거 변화 3회를 사용하며, MAD가 0이거나 이력이 부족하면 후보 판단을 보류합니다.</w:t>
      </w:r>
    </w:p>
    <w:p>
      <w:r>
        <w:t>시연 예제 월별 CSV / risk-analysis-v1 / DB1 반영 자료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담당자 검토용 초안  |  최종 확인 후 사용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