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C3058A3" Type="http://schemas.openxmlformats.org/officeDocument/2006/relationships/officeDocument" Target="/word/document.xml" /><Relationship Id="coreR6C3058A3" Type="http://schemas.openxmlformats.org/package/2006/relationships/metadata/core-properties" Target="/docProps/core.xml" /><Relationship Id="customR6C3058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131" w:type="dxa"/>
            <w:tcBorders>
              <w:top w:val="double" w:sz="6" w:space="0" w:shadow="0" w:frame="0"/>
              <w:left w:val="single" w:sz="6" w:space="0" w:shadow="0" w:frame="0"/>
              <w:bottom w:val="single" w:sz="6" w:space="0" w:shadow="0" w:frame="0"/>
              <w:right w:val="sing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Date</w:t>
            </w:r>
          </w:p>
        </w:tc>
        <w:tc>
          <w:tcPr>
            <w:tcW w:w="5712" w:type="dxa"/>
            <w:tcBorders>
              <w:top w:val="double" w:sz="6" w:space="0" w:shadow="0" w:frame="0"/>
              <w:left w:val="single" w:sz="6" w:space="0" w:shadow="0" w:frame="0"/>
              <w:bottom w:val="single" w:sz="6" w:space="0" w:shadow="0" w:frame="0"/>
              <w:right w:val="double" w:sz="6" w:space="0" w:shadow="0" w:frame="0"/>
            </w:tcBorders>
          </w:tcPr>
          <w:p>
            <w:pPr>
              <w:pStyle w:val="P23"/>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1</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2</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27, 2007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3</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December 29, 2009</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4</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March 15, 2011</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5</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March 31, 2011</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Grammar and Spelling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6</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March 21, 2012</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Addition of References and Replacement Parts sections to this page.  Change tab settings for page 2-5.</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7</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April 9, 2015</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8</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December 16, 2015</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Mirrored Page Layout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9</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March 31, 2017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Minor clarification to 1.11.2 Consultant’s role (AAM)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10</w:t>
            </w:r>
          </w:p>
        </w:tc>
        <w:tc>
          <w:tcPr>
            <w:tcW w:w="2131" w:type="dxa"/>
            <w:tcBorders>
              <w:top w:val="single" w:sz="6" w:space="0" w:shadow="0" w:frame="0"/>
              <w:left w:val="single" w:sz="6" w:space="0" w:shadow="0" w:frame="0"/>
              <w:bottom w:val="doub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 March 4, 2021</w:t>
            </w:r>
          </w:p>
        </w:tc>
        <w:tc>
          <w:tcPr>
            <w:tcW w:w="5712" w:type="dxa"/>
            <w:tcBorders>
              <w:top w:val="single" w:sz="6" w:space="0" w:shadow="0" w:frame="0"/>
              <w:left w:val="single" w:sz="6" w:space="0" w:shadow="0" w:frame="0"/>
              <w:bottom w:val="doub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 xml:space="preserve">Removed mobilization and demobilization </w:t>
            </w:r>
          </w:p>
          <w:p>
            <w:pPr>
              <w:pStyle w:val="P22"/>
              <w:framePr w:w="0" w:h="0" w:hRule="auto" w:vSpace="0" w:hSpace="0" w:wrap="auto" w:vAnchor="margin" w:hAnchor="text" w:x="0" w:xAlign="left" w:y="0" w:yAlign="inline"/>
              <w:rPr>
                <w:rFonts w:ascii="Calibri" w:hAnsi="Calibri"/>
                <w:sz w:val="22"/>
              </w:rPr>
            </w:pPr>
            <w:r>
              <w:rPr>
                <w:rFonts w:ascii="Calibri" w:hAnsi="Calibri"/>
                <w:sz w:val="22"/>
              </w:rPr>
              <w:t>1.3 Revisions to bonding and insurance (BM)</w:t>
            </w:r>
          </w:p>
        </w:tc>
      </w:tr>
    </w:tbl>
    <w:p>
      <w:pPr>
        <w:rPr>
          <w:rFonts w:ascii="Calibri" w:hAnsi="Calibri"/>
        </w:rPr>
      </w:pPr>
      <w:r>
        <w:rPr>
          <w:rFonts w:ascii="Calibri" w:hAnsi="Calibri"/>
        </w:rPr>
        <w:br w:type="textWrapping"/>
      </w: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w:t>
      </w:r>
      <w:r>
        <w:rPr>
          <w:rFonts w:ascii="Calibri" w:hAnsi="Calibri"/>
          <w:b w:val="1"/>
        </w:rPr>
        <w:t>n-line copy is the current version of the document.</w:t>
      </w:r>
    </w:p>
    <w:p>
      <w:pPr>
        <w:pStyle w:val="P5"/>
        <w:rPr>
          <w:rFonts w:ascii="Calibri" w:hAnsi="Calibri"/>
        </w:rPr>
      </w:pPr>
    </w:p>
    <w:p>
      <w:pPr>
        <w:pStyle w:val="P5"/>
        <w:rPr>
          <w:rFonts w:ascii="Calibri" w:hAnsi="Calibri"/>
        </w:rPr>
      </w:pPr>
    </w:p>
    <w:p>
      <w:pPr>
        <w:pStyle w:val="P33"/>
      </w:pPr>
      <w:r>
        <w:br w:type="page"/>
        <w:t>GENERAL</w:t>
      </w:r>
    </w:p>
    <w:p>
      <w:pPr>
        <w:pStyle w:val="P44"/>
      </w:pPr>
      <w:r>
        <w:t>Summary</w:t>
      </w:r>
    </w:p>
    <w:p>
      <w:pPr>
        <w:pStyle w:val="P34"/>
      </w:pPr>
      <w:r>
        <w:t>This Section specifies general requirements including the requirements for bonding and insurance.</w:t>
      </w:r>
    </w:p>
    <w:p>
      <w:pPr>
        <w:pStyle w:val="P44"/>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r>
        <w:rPr>
          <w:highlight w:val="yellow"/>
        </w:rPr>
        <w:t>Contractor is responsible for coordination of the Work.</w:t>
      </w: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pPr>
      <w:r>
        <w:rPr>
          <w:highlight w:val="yellow"/>
        </w:rPr>
        <w:t>[List Sections specifying related requirements.]</w:t>
      </w:r>
    </w:p>
    <w:p>
      <w:pPr>
        <w:pStyle w:val="P34"/>
      </w:pPr>
      <w:r>
        <w:t xml:space="preserve">Section </w:t>
      </w:r>
      <w:r>
        <w:rPr>
          <w:highlight w:val="yellow"/>
        </w:rPr>
        <w:t>[______ – ____________]</w:t>
      </w:r>
      <w:r>
        <w:t xml:space="preserve">: </w:t>
      </w:r>
      <w:r>
        <w:rPr>
          <w:highlight w:val="yellow"/>
        </w:rPr>
        <w:t>[Optional short phrase indicating relationship]</w:t>
      </w:r>
      <w:r>
        <w:t>.</w:t>
      </w:r>
    </w:p>
    <w:p>
      <w:pPr>
        <w:pStyle w:val="P34"/>
      </w:pPr>
      <w:r>
        <w:t xml:space="preserve">Section 01505 – Mobilization and Demobilization </w:t>
      </w:r>
    </w:p>
    <w:p>
      <w:pPr>
        <w:pStyle w:val="P34"/>
      </w:pPr>
      <w:r>
        <w:t>Section 01520 – Field Office</w:t>
      </w:r>
    </w:p>
    <w:p>
      <w:pPr>
        <w:pStyle w:val="P34"/>
      </w:pPr>
      <w:r>
        <w:t>Section 01550 – Traffic Control</w:t>
      </w:r>
    </w:p>
    <w:p>
      <w:pPr>
        <w:pStyle w:val="P34"/>
      </w:pPr>
      <w:r>
        <w:t>Section 01740 – Cleaning</w:t>
      </w:r>
    </w:p>
    <w:p>
      <w:pPr>
        <w:pStyle w:val="P34"/>
      </w:pPr>
      <w:r>
        <w:t>Section 01780 – Contract Closeout</w:t>
      </w:r>
    </w:p>
    <w:p>
      <w:pPr>
        <w:pStyle w:val="P34"/>
      </w:pPr>
      <w:r>
        <w:t>Section 01810 – Equipment Testing and Facility Commissioning</w:t>
      </w:r>
    </w:p>
    <w:p>
      <w:pPr>
        <w:pStyle w:val="P34"/>
      </w:pPr>
      <w:r>
        <w:t>Section 01820 – Demonstration and Training</w:t>
      </w:r>
    </w:p>
    <w:p>
      <w:pPr>
        <w:pStyle w:val="P44"/>
      </w:pPr>
      <w:r>
        <w:t>General</w:t>
      </w:r>
    </w:p>
    <w:p>
      <w:pPr>
        <w:pStyle w:val="P34"/>
        <w:rPr>
          <w:shd w:val="clear" w:color="auto" w:fill="D9D9D9"/>
        </w:rPr>
      </w:pPr>
      <w:r>
        <w:rPr>
          <w:highlight w:val="yellow"/>
          <w:shd w:val="clear" w:color="auto" w:fill="D9D9D9"/>
        </w:rPr>
        <w:t>Provide a Performance Bond in an amount equal to 100% of the Estimated Contract Price, a labour and material payment bond in an amount equal to 50% of the Estimated Contract Price, and insurance as outlined in the terms and conditions of the Contract.</w:t>
      </w:r>
    </w:p>
    <w:p>
      <w:pPr>
        <w:pStyle w:val="P34"/>
      </w:pPr>
      <w:r>
        <w:t xml:space="preserve">The cost of the above bonds and insurance will not be measured separately for payment.  All costs associated with provision of the required bonds and insurance shall be included in the Contract Price.</w:t>
      </w:r>
    </w:p>
    <w:p>
      <w:pPr>
        <w:pStyle w:val="P44"/>
      </w:pPr>
      <w:bookmarkStart w:id="0" w:name="_Hlk56088490"/>
      <w:r>
        <w:t>Substantial Performance of the Work</w:t>
      </w:r>
    </w:p>
    <w:p>
      <w:pPr>
        <w:pStyle w:val="P34"/>
      </w:pPr>
      <w:bookmarkEnd w:id="0"/>
      <w:r>
        <w:t xml:space="preserve">Before the Region takes over the Work from the Contractor or issues the Certificate of Substantial Performance, the requirements for </w:t>
      </w:r>
      <w:r>
        <w:rPr>
          <w:highlight w:val="yellow"/>
        </w:rPr>
        <w:t>Section 01810 - Equipment Testing and Facility Commissioning</w:t>
      </w:r>
      <w:r>
        <w:t xml:space="preserve">, </w:t>
      </w:r>
      <w:r>
        <w:rPr>
          <w:highlight w:val="yellow"/>
        </w:rPr>
        <w:t>Section 01820 - Demonstration and Training</w:t>
      </w:r>
      <w:r>
        <w:t xml:space="preserve">, and </w:t>
      </w:r>
      <w:r>
        <w:rPr>
          <w:highlight w:val="yellow"/>
        </w:rPr>
        <w:t>Section 01780 - Contract Closeout</w:t>
      </w:r>
      <w:r>
        <w:t xml:space="preserve"> shall have been completed to the satisfaction of the Consultant and all certificates from equipment suppliers stating that their equipment has been satisfactorily installed, tested and is in proper working order shall have been received by the Consultant.</w:t>
      </w:r>
    </w:p>
    <w:p>
      <w:pPr>
        <w:pStyle w:val="P44"/>
      </w:pPr>
      <w:r>
        <w:t>Requirements of Authorities and Agencies</w:t>
      </w:r>
    </w:p>
    <w:p>
      <w:pPr>
        <w:pStyle w:val="P34"/>
      </w:pPr>
      <w:r>
        <w:t>The Contractor shall be responsible for complying fully with the requirements of all authorities and agencies that govern any or all of the Work under this Contract. These requirements may affect installation and construction methods and may include a requirement to provide written notice to an authority or agency prior to the commencement of the Work. When written notice to an authority or agency is required, a copy of the notice shall be submitted to the Consultant by the Contractor.</w:t>
      </w:r>
    </w:p>
    <w:p>
      <w:pPr>
        <w:pStyle w:val="P44"/>
      </w:pPr>
      <w:bookmarkStart w:id="1" w:name="_Hlk56088507"/>
      <w:r>
        <w:t>Nature of Site</w:t>
      </w:r>
    </w:p>
    <w:p>
      <w:pPr>
        <w:pStyle w:val="P34"/>
      </w:pPr>
      <w:bookmarkEnd w:id="1"/>
      <w:r>
        <w:t>The Contractor shall make a careful examination of the Site and shall take all such steps as are necessary in order to ascertain the conditions under which the Work is to be carried out. No extra money shall be payable to the Contractor due to soil and/or groundwater conditions adversely affecting the Contractor’s Work or any other matter affected by the Site or Site conditions.</w:t>
      </w:r>
      <w:bookmarkStart w:id="2" w:name="_Hlk56088524"/>
    </w:p>
    <w:p>
      <w:pPr>
        <w:pStyle w:val="P44"/>
      </w:pPr>
      <w:r>
        <w:t>Damage to Existing Utilities and Structures</w:t>
      </w:r>
    </w:p>
    <w:p>
      <w:pPr>
        <w:pStyle w:val="P34"/>
      </w:pPr>
      <w:bookmarkEnd w:id="2"/>
      <w:r>
        <w:t xml:space="preserve">The Contractor shall, at the Contractor’s own expense, obtain the necessary drawings and perform any necessary subsurface investigations in order to determine the exact number and location of all existing utility services, structures, underground pipes, cables, and other similar items.  The locations of existing structures and underground pipes, cables, utilities, and other similar items as shown on the Contract Drawings does not relieve the Contractor of its responsibility to determine the actual locations of all existing utility services, structures, underground pipes, cables and other similar items.</w:t>
      </w:r>
    </w:p>
    <w:p>
      <w:pPr>
        <w:pStyle w:val="P34"/>
      </w:pPr>
      <w:r>
        <w:t>The Contractor shall take all necessary steps to ensure that no damage is caused to existing structures, buildings, foundations, roads, sidewalks, property, utility services, and other similar items during the progress of the Work.</w:t>
      </w:r>
    </w:p>
    <w:p>
      <w:pPr>
        <w:pStyle w:val="P34"/>
      </w:pPr>
      <w:r>
        <w:t>If any damage is caused, the Contractor shall repair and make good such damage at the Contractor’s own expense within a reasonable time and to the complete satisfaction of the Region.</w:t>
      </w:r>
    </w:p>
    <w:p>
      <w:pPr>
        <w:pStyle w:val="P44"/>
      </w:pPr>
      <w:r>
        <w:t>Occupying the Site</w:t>
      </w:r>
    </w:p>
    <w:p>
      <w:pPr>
        <w:pStyle w:val="P34"/>
      </w:pPr>
      <w:r>
        <w:t>The Contractor must comply with the insurance and WSIB requirements of the Contract for the duration of the Contract. If the Contractor fails to meet the insurance and WSIB requirement, the Region shall exercise its right in GC 22.5 or issue a Stop Work Order until the Contractor has met the insurance and WSIB requirements of the Contract.</w:t>
      </w:r>
    </w:p>
    <w:p>
      <w:pPr>
        <w:pStyle w:val="P34"/>
      </w:pPr>
      <w:r>
        <w:t>Only those areas designated by the Consultant for the Contractor’s access shall be used for the execution of the Work and, in executing the Work, the Contractor shall not unnecessarily obstruct the normal flow of traffic, to, from, or about the Site; and shall not unreasonably allow any vehicles or materials to stand in front of, or near to, any buildings or building access areas on the Site.</w:t>
      </w:r>
    </w:p>
    <w:p>
      <w:pPr>
        <w:pStyle w:val="P34"/>
      </w:pPr>
      <w:r>
        <w:t>The Contractor shall confine its operations within the areas designated for construction, storage and access as shown on the Contract Drawings and/or as directed by the Consultant.</w:t>
      </w:r>
    </w:p>
    <w:p>
      <w:pPr>
        <w:pStyle w:val="P34"/>
      </w:pPr>
      <w:r>
        <w:t>The Contractor shall limit its access to and from the Site as instructed by the Consultant.</w:t>
      </w:r>
    </w:p>
    <w:p>
      <w:pPr>
        <w:pStyle w:val="P34"/>
      </w:pPr>
      <w:r>
        <w:t>The Contractor shall maintain safe access to all existing facilities for the Region’s operations staff at all times for the duration of the Contract.</w:t>
      </w:r>
    </w:p>
    <w:p>
      <w:pPr>
        <w:pStyle w:val="P34"/>
      </w:pPr>
      <w:r>
        <w:t xml:space="preserve">The Contractor’s occupation or use of any areas of the Site occupied by operational plant (Restricted Areas) shall be limited to such times as are necessary for the execution of the Work in those areas.  The Contractor shall clearly identify in its schedule when occupation of any Restricted Areas is required and shall notify the Consultant in writing when such possession is required a minimum of 10 Business Days in advance.</w:t>
      </w:r>
    </w:p>
    <w:p>
      <w:pPr>
        <w:pStyle w:val="P34"/>
      </w:pPr>
      <w:r>
        <w:t xml:space="preserve">The Contractor shall not occupy or use any of the Restricted Areas for a longer period than is necessary for the execution of any part of the Work to be undertaken in those areas, nor shall the Contractor occupy an area greater than the minimum required in order to complete that part of the Work.  </w:t>
      </w:r>
    </w:p>
    <w:p>
      <w:pPr>
        <w:pStyle w:val="P33"/>
      </w:pPr>
      <w:r>
        <w:t>PRODUCTS (NOT USED)</w:t>
      </w:r>
    </w:p>
    <w:p>
      <w:pPr>
        <w:pStyle w:val="P33"/>
      </w:pPr>
      <w:r>
        <w:t>EXECUTION (NOT USED)</w:t>
      </w:r>
    </w:p>
    <w:p>
      <w:pPr>
        <w:pStyle w:val="P21"/>
        <w:spacing w:before="240"/>
        <w:jc w:val="center"/>
        <w:rPr>
          <w:rFonts w:ascii="Calibri" w:hAnsi="Calibri"/>
          <w:b w:val="1"/>
          <w:sz w:val="22"/>
        </w:rPr>
      </w:pPr>
      <w:r>
        <w:rPr>
          <w:rFonts w:ascii="Calibri" w:hAnsi="Calibri"/>
          <w:b w:val="1"/>
          <w:sz w:val="22"/>
        </w:rPr>
        <w:t>E</w:t>
      </w:r>
      <w:r>
        <w:rPr>
          <w:rFonts w:ascii="Calibri" w:hAnsi="Calibri"/>
          <w:b w:val="1"/>
          <w:sz w:val="22"/>
        </w:rPr>
        <w:t>ND OF S</w:t>
      </w:r>
      <w:r>
        <w:rPr>
          <w:rFonts w:ascii="Calibri" w:hAnsi="Calibri"/>
          <w:b w:val="1"/>
          <w:sz w:val="22"/>
        </w:rPr>
        <w:t>ECTION</w:t>
      </w:r>
    </w:p>
    <w:p>
      <w:pPr>
        <w:pStyle w:val="P5"/>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01000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GENERAL REQUIREMENTS</w:t>
    </w:r>
    <w:r>
      <w:rPr>
        <w:rFonts w:ascii="Calibri" w:hAnsi="Calibri"/>
      </w:rPr>
      <w:tab/>
      <w:t>2015-04-09</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01000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GENERAL REQU</w:t>
    </w:r>
    <w:r>
      <w:rPr>
        <w:rFonts w:ascii="Calibri" w:hAnsi="Calibri"/>
        <w:b w:val="1"/>
      </w:rPr>
      <w:t>IREMENTS</w:t>
    </w:r>
    <w:r>
      <w:rPr>
        <w:rFonts w:ascii="Calibri" w:hAnsi="Calibri"/>
      </w:rPr>
      <w:tab/>
      <w:t>2021-03-04</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040" w:leader="none"/>
        <w:tab w:val="right" w:pos="10080" w:leader="none"/>
      </w:tabs>
      <w:rPr>
        <w:rFonts w:ascii="Calibri" w:hAnsi="Calibri"/>
      </w:rPr>
    </w:pPr>
    <w:r>
      <w:rPr>
        <w:rFonts w:ascii="Calibri" w:hAnsi="Calibri"/>
      </w:rPr>
      <w:t>Section 01000</w:t>
      <w:tab/>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040" w:leader="none"/>
        <w:tab w:val="center" w:pos="5220" w:leader="none"/>
        <w:tab w:val="right" w:pos="10080" w:leader="none"/>
      </w:tabs>
      <w:rPr>
        <w:rFonts w:ascii="Calibri" w:hAnsi="Calibri"/>
      </w:rPr>
    </w:pPr>
    <w:r>
      <w:rPr>
        <w:rFonts w:ascii="Calibri" w:hAnsi="Calibri"/>
      </w:rPr>
      <w:t>2021-03-04</w:t>
      <w:tab/>
    </w:r>
    <w:r>
      <w:rPr>
        <w:rFonts w:ascii="Calibri" w:hAnsi="Calibri"/>
        <w:b w:val="1"/>
      </w:rPr>
      <w:t>GEN</w:t>
    </w:r>
    <w:r>
      <w:rPr>
        <w:rFonts w:ascii="Calibri" w:hAnsi="Calibri"/>
        <w:b w:val="1"/>
      </w:rPr>
      <w:t>ER</w:t>
    </w:r>
    <w:r>
      <w:rPr>
        <w:rFonts w:ascii="Calibri" w:hAnsi="Calibri"/>
        <w:b w:val="1"/>
      </w:rPr>
      <w:t>AL RE</w:t>
    </w:r>
    <w:r>
      <w:rPr>
        <w:rFonts w:ascii="Calibri" w:hAnsi="Calibri"/>
        <w:b w:val="1"/>
      </w:rPr>
      <w:t>QUIREMENTS</w:t>
    </w:r>
    <w:r>
      <w:rPr>
        <w:rFonts w:ascii="Calibri" w:hAnsi="Calibri"/>
      </w:rPr>
      <w:tab/>
    </w:r>
  </w:p>
  <w:p>
    <w:pPr>
      <w:pBdr>
        <w:top w:val="single" w:sz="4" w:space="0" w:shadow="0" w:frame="0"/>
      </w:pBdr>
      <w:tabs>
        <w:tab w:val="center" w:pos="5040" w:leader="none"/>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ab/>
      <w:t xml:space="preserve">DATE: </w:t>
    </w:r>
    <w:r>
      <w:rPr>
        <w:rFonts w:ascii="Calibri" w:hAnsi="Calibri"/>
        <w:highlight w:val="yellow"/>
      </w:rPr>
      <w:t>[Insert Date, (e.g. Jan., 2020)]</w:t>
    </w:r>
    <w:r>
      <w:rPr>
        <w:rFonts w:ascii="Calibri" w:hAnsi="Calibri"/>
      </w:rPr>
      <w:tab/>
      <w:t xml:space="preserve"> </w:t>
    </w:r>
  </w:p>
  <w:p>
    <w:pPr>
      <w:pStyle w:val="P11"/>
      <w:jc w:val="left"/>
    </w:pPr>
  </w:p>
</w:hdr>
</file>

<file path=word/numbering.xml><?xml version="1.0" encoding="utf-8"?>
<w:numbering xmlns:w="http://schemas.openxmlformats.org/wordprocessingml/2006/main">
  <w:abstractNum w:abstractNumId="0">
    <w:nsid w:val="FFFFFF89"/>
    <w:multiLevelType w:val="hybridMultilevel"/>
    <w:lvl w:ilvl="0" w:tplc="0224DDB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5DE1C9C"/>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C813A69"/>
    <w:multiLevelType w:val="hybridMultilevel"/>
    <w:lvl w:ilvl="0" w:tplc="73185E44">
      <w:start w:val="1"/>
      <w:numFmt w:val="bullet"/>
      <w:suff w:val="tab"/>
      <w:lvlText w:val=""/>
      <w:lvlJc w:val="left"/>
      <w:pPr>
        <w:ind w:hanging="360" w:left="720"/>
        <w:tabs>
          <w:tab w:val="left" w:pos="720" w:leader="none"/>
        </w:tabs>
      </w:pPr>
      <w:rPr>
        <w:rFonts w:ascii="Symbol" w:hAnsi="Symbol"/>
      </w:rPr>
    </w:lvl>
    <w:lvl w:ilvl="1" w:tplc="093440E9">
      <w:start w:val="1"/>
      <w:numFmt w:val="bullet"/>
      <w:suff w:val="tab"/>
      <w:lvlText w:val="o"/>
      <w:lvlJc w:val="left"/>
      <w:pPr>
        <w:ind w:hanging="360" w:left="1440"/>
        <w:tabs>
          <w:tab w:val="left" w:pos="1440" w:leader="none"/>
        </w:tabs>
      </w:pPr>
      <w:rPr>
        <w:rFonts w:ascii="Courier New" w:hAnsi="Courier New"/>
      </w:rPr>
    </w:lvl>
    <w:lvl w:ilvl="2" w:tplc="666BAADE">
      <w:start w:val="1"/>
      <w:numFmt w:val="bullet"/>
      <w:suff w:val="tab"/>
      <w:lvlText w:val=""/>
      <w:lvlJc w:val="left"/>
      <w:pPr>
        <w:ind w:hanging="360" w:left="2160"/>
        <w:tabs>
          <w:tab w:val="left" w:pos="2160" w:leader="none"/>
        </w:tabs>
      </w:pPr>
      <w:rPr>
        <w:rFonts w:ascii="Wingdings" w:hAnsi="Wingdings"/>
      </w:rPr>
    </w:lvl>
    <w:lvl w:ilvl="3" w:tplc="16B92D92">
      <w:start w:val="1"/>
      <w:numFmt w:val="bullet"/>
      <w:suff w:val="tab"/>
      <w:lvlText w:val=""/>
      <w:lvlJc w:val="left"/>
      <w:pPr>
        <w:ind w:hanging="360" w:left="2880"/>
        <w:tabs>
          <w:tab w:val="left" w:pos="2880" w:leader="none"/>
        </w:tabs>
      </w:pPr>
      <w:rPr>
        <w:rFonts w:ascii="Symbol" w:hAnsi="Symbol"/>
      </w:rPr>
    </w:lvl>
    <w:lvl w:ilvl="4" w:tplc="61B08EBE">
      <w:start w:val="1"/>
      <w:numFmt w:val="bullet"/>
      <w:suff w:val="tab"/>
      <w:lvlText w:val="o"/>
      <w:lvlJc w:val="left"/>
      <w:pPr>
        <w:ind w:hanging="360" w:left="3600"/>
        <w:tabs>
          <w:tab w:val="left" w:pos="3600" w:leader="none"/>
        </w:tabs>
      </w:pPr>
      <w:rPr>
        <w:rFonts w:ascii="Courier New" w:hAnsi="Courier New"/>
      </w:rPr>
    </w:lvl>
    <w:lvl w:ilvl="5" w:tplc="673EAD01">
      <w:start w:val="1"/>
      <w:numFmt w:val="bullet"/>
      <w:suff w:val="tab"/>
      <w:lvlText w:val=""/>
      <w:lvlJc w:val="left"/>
      <w:pPr>
        <w:ind w:hanging="360" w:left="4320"/>
        <w:tabs>
          <w:tab w:val="left" w:pos="4320" w:leader="none"/>
        </w:tabs>
      </w:pPr>
      <w:rPr>
        <w:rFonts w:ascii="Wingdings" w:hAnsi="Wingdings"/>
      </w:rPr>
    </w:lvl>
    <w:lvl w:ilvl="6" w:tplc="01D5ADE6">
      <w:start w:val="1"/>
      <w:numFmt w:val="bullet"/>
      <w:suff w:val="tab"/>
      <w:lvlText w:val=""/>
      <w:lvlJc w:val="left"/>
      <w:pPr>
        <w:ind w:hanging="360" w:left="5040"/>
        <w:tabs>
          <w:tab w:val="left" w:pos="5040" w:leader="none"/>
        </w:tabs>
      </w:pPr>
      <w:rPr>
        <w:rFonts w:ascii="Symbol" w:hAnsi="Symbol"/>
      </w:rPr>
    </w:lvl>
    <w:lvl w:ilvl="7" w:tplc="589510D3">
      <w:start w:val="1"/>
      <w:numFmt w:val="bullet"/>
      <w:suff w:val="tab"/>
      <w:lvlText w:val="o"/>
      <w:lvlJc w:val="left"/>
      <w:pPr>
        <w:ind w:hanging="360" w:left="5760"/>
        <w:tabs>
          <w:tab w:val="left" w:pos="5760" w:leader="none"/>
        </w:tabs>
      </w:pPr>
      <w:rPr>
        <w:rFonts w:ascii="Courier New" w:hAnsi="Courier New"/>
      </w:rPr>
    </w:lvl>
    <w:lvl w:ilvl="8" w:tplc="33BD1BFC">
      <w:start w:val="1"/>
      <w:numFmt w:val="bullet"/>
      <w:suff w:val="tab"/>
      <w:lvlText w:val=""/>
      <w:lvlJc w:val="left"/>
      <w:pPr>
        <w:ind w:hanging="360" w:left="6480"/>
        <w:tabs>
          <w:tab w:val="left" w:pos="6480" w:leader="none"/>
        </w:tabs>
      </w:pPr>
      <w:rPr>
        <w:rFonts w:ascii="Wingdings" w:hAnsi="Wingdings"/>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EA6C0B"/>
    <w:multiLevelType w:val="hybridMultilevel"/>
    <w:lvl w:ilvl="0" w:tplc="034FF994">
      <w:start w:val="1"/>
      <w:numFmt w:val="bullet"/>
      <w:suff w:val="tab"/>
      <w:lvlText w:val=""/>
      <w:lvlJc w:val="left"/>
      <w:pPr>
        <w:ind w:hanging="360" w:left="720"/>
        <w:tabs>
          <w:tab w:val="left" w:pos="720" w:leader="none"/>
        </w:tabs>
      </w:pPr>
      <w:rPr>
        <w:rFonts w:ascii="Symbol" w:hAnsi="Symbol"/>
      </w:rPr>
    </w:lvl>
    <w:lvl w:ilvl="1" w:tplc="20E08834">
      <w:start w:val="1"/>
      <w:numFmt w:val="bullet"/>
      <w:suff w:val="tab"/>
      <w:lvlText w:val="o"/>
      <w:lvlJc w:val="left"/>
      <w:pPr>
        <w:ind w:hanging="360" w:left="1440"/>
        <w:tabs>
          <w:tab w:val="left" w:pos="1440" w:leader="none"/>
        </w:tabs>
      </w:pPr>
      <w:rPr>
        <w:rFonts w:ascii="Courier New" w:hAnsi="Courier New"/>
      </w:rPr>
    </w:lvl>
    <w:lvl w:ilvl="2" w:tplc="56818B2C">
      <w:start w:val="1"/>
      <w:numFmt w:val="bullet"/>
      <w:suff w:val="tab"/>
      <w:lvlText w:val=""/>
      <w:lvlJc w:val="left"/>
      <w:pPr>
        <w:ind w:hanging="360" w:left="2160"/>
        <w:tabs>
          <w:tab w:val="left" w:pos="2160" w:leader="none"/>
        </w:tabs>
      </w:pPr>
      <w:rPr>
        <w:rFonts w:ascii="Wingdings" w:hAnsi="Wingdings"/>
      </w:rPr>
    </w:lvl>
    <w:lvl w:ilvl="3" w:tplc="43113FF8">
      <w:start w:val="1"/>
      <w:numFmt w:val="bullet"/>
      <w:suff w:val="tab"/>
      <w:lvlText w:val=""/>
      <w:lvlJc w:val="left"/>
      <w:pPr>
        <w:ind w:hanging="360" w:left="2880"/>
        <w:tabs>
          <w:tab w:val="left" w:pos="2880" w:leader="none"/>
        </w:tabs>
      </w:pPr>
      <w:rPr>
        <w:rFonts w:ascii="Symbol" w:hAnsi="Symbol"/>
      </w:rPr>
    </w:lvl>
    <w:lvl w:ilvl="4" w:tplc="73D51BBC">
      <w:start w:val="1"/>
      <w:numFmt w:val="bullet"/>
      <w:suff w:val="tab"/>
      <w:lvlText w:val="o"/>
      <w:lvlJc w:val="left"/>
      <w:pPr>
        <w:ind w:hanging="360" w:left="3600"/>
        <w:tabs>
          <w:tab w:val="left" w:pos="3600" w:leader="none"/>
        </w:tabs>
      </w:pPr>
      <w:rPr>
        <w:rFonts w:ascii="Courier New" w:hAnsi="Courier New"/>
      </w:rPr>
    </w:lvl>
    <w:lvl w:ilvl="5" w:tplc="02AD38ED">
      <w:start w:val="1"/>
      <w:numFmt w:val="bullet"/>
      <w:suff w:val="tab"/>
      <w:lvlText w:val=""/>
      <w:lvlJc w:val="left"/>
      <w:pPr>
        <w:ind w:hanging="360" w:left="4320"/>
        <w:tabs>
          <w:tab w:val="left" w:pos="4320" w:leader="none"/>
        </w:tabs>
      </w:pPr>
      <w:rPr>
        <w:rFonts w:ascii="Wingdings" w:hAnsi="Wingdings"/>
      </w:rPr>
    </w:lvl>
    <w:lvl w:ilvl="6" w:tplc="1279E1EF">
      <w:start w:val="1"/>
      <w:numFmt w:val="bullet"/>
      <w:suff w:val="tab"/>
      <w:lvlText w:val=""/>
      <w:lvlJc w:val="left"/>
      <w:pPr>
        <w:ind w:hanging="360" w:left="5040"/>
        <w:tabs>
          <w:tab w:val="left" w:pos="5040" w:leader="none"/>
        </w:tabs>
      </w:pPr>
      <w:rPr>
        <w:rFonts w:ascii="Symbol" w:hAnsi="Symbol"/>
      </w:rPr>
    </w:lvl>
    <w:lvl w:ilvl="7" w:tplc="69D0454D">
      <w:start w:val="1"/>
      <w:numFmt w:val="bullet"/>
      <w:suff w:val="tab"/>
      <w:lvlText w:val="o"/>
      <w:lvlJc w:val="left"/>
      <w:pPr>
        <w:ind w:hanging="360" w:left="5760"/>
        <w:tabs>
          <w:tab w:val="left" w:pos="5760" w:leader="none"/>
        </w:tabs>
      </w:pPr>
      <w:rPr>
        <w:rFonts w:ascii="Courier New" w:hAnsi="Courier New"/>
      </w:rPr>
    </w:lvl>
    <w:lvl w:ilvl="8" w:tplc="19560462">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EE15B51"/>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1"/>
  </w:num>
  <w:num w:numId="9">
    <w:abstractNumId w:val="12"/>
  </w:num>
  <w:num w:numId="10">
    <w:abstractNumId w:val="7"/>
  </w:num>
  <w:num w:numId="11">
    <w:abstractNumId w:val="10"/>
  </w:num>
  <w:num w:numId="12">
    <w:abstractNumId w:val="10"/>
  </w:num>
  <w:num w:numId="13">
    <w:abstractNumId w:val="10"/>
  </w:num>
  <w:num w:numId="14">
    <w:abstractNumId w:val="10"/>
  </w:num>
  <w:num w:numId="15">
    <w:abstractNumId w:val="10"/>
  </w:num>
  <w:num w:numId="16">
    <w:abstractNumId w:val="3"/>
  </w:num>
  <w:num w:numId="17">
    <w:abstractNumId w:val="6"/>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2"/>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link w:val="C13"/>
    <w:qFormat/>
    <w:pPr>
      <w:numPr>
        <w:ilvl w:val="6"/>
        <w:numId w:val="43"/>
      </w:numPr>
      <w:spacing w:before="240" w:after="60"/>
      <w:outlineLvl w:val="6"/>
    </w:pPr>
    <w:rPr>
      <w:rFonts w:ascii="Times New Roman" w:hAnsi="Times New Roman"/>
      <w:sz w:val="24"/>
    </w:rPr>
  </w:style>
  <w:style w:type="paragraph" w:styleId="P3">
    <w:name w:val="Heading 8"/>
    <w:basedOn w:val="P0"/>
    <w:next w:val="P0"/>
    <w:qFormat/>
    <w:pPr>
      <w:numPr>
        <w:ilvl w:val="7"/>
        <w:numId w:val="43"/>
      </w:numPr>
      <w:spacing w:before="240" w:after="60"/>
      <w:outlineLvl w:val="7"/>
    </w:pPr>
    <w:rPr>
      <w:rFonts w:ascii="Times New Roman" w:hAnsi="Times New Roman"/>
      <w:i w:val="1"/>
      <w:sz w:val="24"/>
    </w:rPr>
  </w:style>
  <w:style w:type="paragraph" w:styleId="P4">
    <w:name w:val="Heading 9"/>
    <w:basedOn w:val="P0"/>
    <w:next w:val="P0"/>
    <w:qFormat/>
    <w:pPr>
      <w:numPr>
        <w:ilvl w:val="8"/>
        <w:numId w:val="4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14"/>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Bullet"/>
    <w:basedOn w:val="P5"/>
    <w:next w:val="P5"/>
    <w:pPr/>
    <w:rPr/>
  </w:style>
  <w:style w:type="paragraph" w:styleId="P26">
    <w:name w:val="CSA"/>
    <w:basedOn w:val="P5"/>
    <w:next w:val="P33"/>
    <w:pPr>
      <w:keepNext w:val="1"/>
      <w:spacing w:after="0"/>
    </w:pPr>
    <w:rPr>
      <w:b w:val="1"/>
      <w:caps w:val="1"/>
      <w:sz w:val="20"/>
    </w:rPr>
  </w:style>
  <w:style w:type="paragraph" w:styleId="P27">
    <w:name w:val="Footnote Text"/>
    <w:basedOn w:val="P5"/>
    <w:next w:val="P27"/>
    <w:pPr>
      <w:spacing w:after="0"/>
    </w:pPr>
    <w:rPr>
      <w:rFonts w:ascii="Arial" w:hAnsi="Arial"/>
      <w:sz w:val="16"/>
    </w:rPr>
  </w:style>
  <w:style w:type="paragraph" w:styleId="P28">
    <w:name w:val="Number"/>
    <w:basedOn w:val="P5"/>
    <w:next w:val="P5"/>
    <w:pPr>
      <w:spacing w:after="0"/>
      <w:ind w:hanging="360" w:left="360"/>
    </w:pPr>
    <w:rPr/>
  </w:style>
  <w:style w:type="paragraph" w:styleId="P29">
    <w:name w:val="Tick"/>
    <w:basedOn w:val="P5"/>
    <w:next w:val="P5"/>
    <w:pPr>
      <w:spacing w:after="0"/>
      <w:ind w:hanging="360" w:left="720"/>
    </w:pPr>
    <w:rPr/>
  </w:style>
  <w:style w:type="paragraph" w:styleId="P30">
    <w:name w:val="TOC 1"/>
    <w:basedOn w:val="P5"/>
    <w:next w:val="P43"/>
    <w:pPr>
      <w:tabs>
        <w:tab w:val="right" w:pos="8640" w:leader="dot"/>
      </w:tabs>
      <w:spacing w:after="0"/>
    </w:pPr>
    <w:rPr>
      <w:b w:val="1"/>
    </w:rPr>
  </w:style>
  <w:style w:type="paragraph" w:styleId="P31">
    <w:name w:val="Style Heading 2 + Underline"/>
    <w:basedOn w:val="P5"/>
    <w:next w:val="P31"/>
    <w:qFormat/>
    <w:pPr/>
    <w:rPr>
      <w:b w:val="1"/>
      <w:u w:val="single"/>
    </w:rPr>
  </w:style>
  <w:style w:type="paragraph" w:styleId="P32">
    <w:name w:val="Comment Subject"/>
    <w:basedOn w:val="P6"/>
    <w:next w:val="P6"/>
    <w:pPr>
      <w:spacing w:before="0"/>
    </w:pPr>
    <w:rPr>
      <w:rFonts w:ascii="Book Antiqua" w:hAnsi="Book Antiqua"/>
      <w:b w:val="1"/>
      <w:sz w:val="20"/>
    </w:rPr>
  </w:style>
  <w:style w:type="paragraph" w:styleId="P33">
    <w:name w:val="Heading 1"/>
    <w:aliases w:val="Heading 1S,Contents - level1 Char"/>
    <w:basedOn w:val="P8"/>
    <w:next w:val="P5"/>
    <w:link w:val="C8"/>
    <w:qFormat/>
    <w:pPr>
      <w:keepNext w:val="1"/>
      <w:numPr>
        <w:numId w:val="4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3"/>
    <w:aliases w:val="Heading 3S"/>
    <w:basedOn w:val="P8"/>
    <w:next w:val="P34"/>
    <w:link w:val="C7"/>
    <w:qFormat/>
    <w:pPr>
      <w:numPr>
        <w:ilvl w:val="2"/>
        <w:numId w:val="43"/>
      </w:numPr>
      <w:tabs>
        <w:tab w:val="clear" w:pos="720" w:leader="none"/>
        <w:tab w:val="left" w:pos="1440" w:leader="none"/>
      </w:tabs>
      <w:spacing w:before="80"/>
      <w:ind w:hanging="720" w:left="1440"/>
      <w:outlineLvl w:val="2"/>
    </w:pPr>
    <w:rPr>
      <w:rFonts w:ascii="Calibri" w:hAnsi="Calibri"/>
      <w:b w:val="0"/>
    </w:rPr>
  </w:style>
  <w:style w:type="paragraph" w:styleId="P35">
    <w:name w:val="Heading 4"/>
    <w:aliases w:val="Heading 4S"/>
    <w:basedOn w:val="P8"/>
    <w:next w:val="P35"/>
    <w:link w:val="C10"/>
    <w:qFormat/>
    <w:pPr>
      <w:numPr>
        <w:ilvl w:val="3"/>
        <w:numId w:val="43"/>
      </w:numPr>
      <w:ind w:hanging="720" w:left="2160"/>
      <w:outlineLvl w:val="3"/>
    </w:pPr>
    <w:rPr>
      <w:rFonts w:ascii="Calibri" w:hAnsi="Calibri"/>
      <w:b w:val="0"/>
    </w:rPr>
  </w:style>
  <w:style w:type="paragraph" w:styleId="P36">
    <w:name w:val="Heading 5"/>
    <w:aliases w:val="Heading 5S"/>
    <w:basedOn w:val="P8"/>
    <w:next w:val="P36"/>
    <w:link w:val="C11"/>
    <w:qFormat/>
    <w:pPr>
      <w:numPr>
        <w:ilvl w:val="4"/>
        <w:numId w:val="43"/>
      </w:numPr>
      <w:tabs>
        <w:tab w:val="left" w:pos="2160" w:leader="none"/>
      </w:tabs>
      <w:outlineLvl w:val="4"/>
    </w:pPr>
    <w:rPr>
      <w:rFonts w:ascii="Calibri" w:hAnsi="Calibri"/>
      <w:b w:val="0"/>
    </w:rPr>
  </w:style>
  <w:style w:type="paragraph" w:styleId="P37">
    <w:name w:val="Heading 6"/>
    <w:aliases w:val="Heading 6S"/>
    <w:basedOn w:val="P8"/>
    <w:next w:val="P5"/>
    <w:link w:val="C12"/>
    <w:qFormat/>
    <w:pPr>
      <w:numPr>
        <w:ilvl w:val="5"/>
        <w:numId w:val="43"/>
      </w:numPr>
      <w:outlineLvl w:val="5"/>
    </w:pPr>
    <w:rPr>
      <w:i w:val="1"/>
      <w:sz w:val="24"/>
    </w:rPr>
  </w:style>
  <w:style w:type="paragraph" w:styleId="P38">
    <w:name w:val="Caption"/>
    <w:basedOn w:val="P8"/>
    <w:next w:val="P0"/>
    <w:qFormat/>
    <w:pPr>
      <w:keepNext w:val="1"/>
      <w:spacing w:after="240"/>
    </w:pPr>
    <w:rPr>
      <w:b w:val="0"/>
      <w:i w:val="1"/>
      <w:sz w:val="20"/>
    </w:rPr>
  </w:style>
  <w:style w:type="paragraph" w:styleId="P39">
    <w:name w:val="Exhibit--Number"/>
    <w:basedOn w:val="P8"/>
    <w:next w:val="P47"/>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List Bullet"/>
    <w:basedOn w:val="P25"/>
    <w:next w:val="P42"/>
    <w:pPr>
      <w:numPr>
        <w:numId w:val="24"/>
      </w:numPr>
    </w:pPr>
    <w:rPr/>
  </w:style>
  <w:style w:type="paragraph" w:styleId="P43">
    <w:name w:val="TOC 2"/>
    <w:basedOn w:val="P30"/>
    <w:next w:val="P49"/>
    <w:pPr>
      <w:tabs>
        <w:tab w:val="left" w:pos="1008" w:leader="none"/>
      </w:tabs>
      <w:ind w:left="720"/>
    </w:pPr>
    <w:rPr>
      <w:b w:val="0"/>
    </w:rPr>
  </w:style>
  <w:style w:type="paragraph" w:styleId="P44">
    <w:name w:val="Heading 2"/>
    <w:aliases w:val="Heading 2S"/>
    <w:basedOn w:val="P31"/>
    <w:next w:val="P5"/>
    <w:link w:val="C9"/>
    <w:qFormat/>
    <w:pPr>
      <w:numPr>
        <w:ilvl w:val="1"/>
        <w:numId w:val="43"/>
      </w:numPr>
      <w:tabs>
        <w:tab w:val="clear" w:pos="576" w:leader="none"/>
        <w:tab w:val="left" w:pos="720" w:leader="none"/>
      </w:tabs>
      <w:spacing w:before="80" w:after="0"/>
      <w:ind w:hanging="720" w:left="720"/>
      <w:outlineLvl w:val="1"/>
    </w:pPr>
    <w:rPr>
      <w:rFonts w:ascii="Calibri" w:hAnsi="Calibri"/>
      <w:b w:val="0"/>
    </w:rPr>
  </w:style>
  <w:style w:type="paragraph" w:styleId="P45">
    <w:name w:val="Contents"/>
    <w:basedOn w:val="P33"/>
    <w:next w:val="P5"/>
    <w:pPr/>
    <w:rPr/>
  </w:style>
  <w:style w:type="paragraph" w:styleId="P46">
    <w:name w:val="Style Heading 3 + Left:  2.5&quot; First line:  0&quot;"/>
    <w:basedOn w:val="P34"/>
    <w:next w:val="P46"/>
    <w:pPr>
      <w:ind w:firstLine="0" w:left="720"/>
    </w:pPr>
    <w:rPr/>
  </w:style>
  <w:style w:type="paragraph" w:styleId="P47">
    <w:name w:val="Exhibit--Title"/>
    <w:basedOn w:val="P39"/>
    <w:next w:val="P50"/>
    <w:pPr>
      <w:spacing w:before="0"/>
    </w:pPr>
    <w:rPr>
      <w:b w:val="1"/>
      <w:caps w:val="0"/>
      <w:sz w:val="20"/>
    </w:rPr>
  </w:style>
  <w:style w:type="paragraph" w:styleId="P48">
    <w:name w:val="Table Notes"/>
    <w:basedOn w:val="P41"/>
    <w:next w:val="P48"/>
    <w:pPr>
      <w:spacing w:after="320"/>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7"/>
    <w:next w:val="P5"/>
    <w:pPr/>
    <w:rPr>
      <w:i w:val="1"/>
    </w:rPr>
  </w:style>
  <w:style w:type="paragraph" w:styleId="P51">
    <w:name w:val="TOC 4"/>
    <w:basedOn w:val="P49"/>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aliases w:val="Heading 3S Char"/>
    <w:link w:val="P34"/>
    <w:rPr>
      <w:rFonts w:ascii="Calibri" w:hAnsi="Calibri"/>
      <w:b w:val="0"/>
    </w:rPr>
  </w:style>
  <w:style w:type="character" w:styleId="C8">
    <w:name w:val="Heading 1 Char"/>
    <w:aliases w:val="Heading 1S Char"/>
    <w:link w:val="P33"/>
    <w:rPr>
      <w:rFonts w:ascii="Calibri" w:hAnsi="Calibri"/>
      <w:b w:val="0"/>
      <w:caps w:val="1"/>
      <w:u w:val="single"/>
    </w:rPr>
  </w:style>
  <w:style w:type="character" w:styleId="C9">
    <w:name w:val="Heading 2 Char"/>
    <w:aliases w:val="Heading 2S Char"/>
    <w:link w:val="P44"/>
    <w:rPr>
      <w:rFonts w:ascii="Calibri" w:hAnsi="Calibri"/>
      <w:b w:val="0"/>
    </w:rPr>
  </w:style>
  <w:style w:type="character" w:styleId="C10">
    <w:name w:val="Heading 4 Char"/>
    <w:aliases w:val="Heading 4S Char"/>
    <w:link w:val="P35"/>
    <w:rPr>
      <w:rFonts w:ascii="Calibri" w:hAnsi="Calibri"/>
      <w:b w:val="0"/>
    </w:rPr>
  </w:style>
  <w:style w:type="character" w:styleId="C11">
    <w:name w:val="Heading 5 Char"/>
    <w:aliases w:val="Heading 5S Char"/>
    <w:link w:val="P36"/>
    <w:rPr>
      <w:rFonts w:ascii="Calibri" w:hAnsi="Calibri"/>
      <w:b w:val="0"/>
    </w:rPr>
  </w:style>
  <w:style w:type="character" w:styleId="C12">
    <w:name w:val="Heading 6 Char"/>
    <w:aliases w:val="Heading 6S Char"/>
    <w:link w:val="P37"/>
    <w:rPr>
      <w:i w:val="1"/>
      <w:sz w:val="24"/>
    </w:rPr>
  </w:style>
  <w:style w:type="character" w:styleId="C13">
    <w:name w:val="Heading 7 Char"/>
    <w:link w:val="P2"/>
    <w:rPr>
      <w:rFonts w:ascii="Times New Roman" w:hAnsi="Times New Roman"/>
      <w:sz w:val="24"/>
    </w:rPr>
  </w:style>
  <w:style w:type="character" w:styleId="C14">
    <w:name w:val="Comment Text Char"/>
    <w:link w:val="P6"/>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2020-12-09T16:15:00Z</dcterms:created>
  <cp:lastModifiedBy>Ray</cp:lastModifiedBy>
  <cp:lastPrinted>2012-03-21T14:52:00Z</cp:lastPrinted>
  <dcterms:modified xsi:type="dcterms:W3CDTF">2022-10-04T19:38:49Z</dcterms:modified>
  <cp:revision>9</cp:revision>
  <dc:title>01000_General_Requirements (Dec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2021-03-04T00:00:00Z</vt:lpwstr>
  </property>
  <property fmtid="{D5CDD505-2E9C-101B-9397-08002B2CF9AE}" pid="5" name="_dlc_DocId">
    <vt:lpwstr>ENVCPD-95-2178</vt:lpwstr>
  </property>
  <property fmtid="{D5CDD505-2E9C-101B-9397-08002B2CF9AE}" pid="6" name="_dlc_DocIdItemGuid">
    <vt:lpwstr>a0d22704-3dd0-4784-ae4e-770b4aae340c</vt:lpwstr>
  </property>
  <property fmtid="{D5CDD505-2E9C-101B-9397-08002B2CF9AE}" pid="7" name="_dlc_DocIdUrl">
    <vt:lpwstr>https://mycloud.york.ca/projects/EnvServProgramDeliveryOffice/Design/_layouts/DocIdRedir.aspx?ID=ENVCPD-95-2178, ENVCPD-95-2178</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01 - General Requirements/01000 General Requirements.doc</vt:lpwstr>
  </property>
  <property fmtid="{D5CDD505-2E9C-101B-9397-08002B2CF9AE}" pid="11" name="Order">
    <vt:lpwstr>217800.000000000</vt:lpwstr>
  </property>
  <property fmtid="{D5CDD505-2E9C-101B-9397-08002B2CF9AE}" pid="12" name="Document Type">
    <vt:lpwstr>Technical Design Specification Templates</vt:lpwstr>
  </property>
</Properties>
</file>