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10B9130" Type="http://schemas.openxmlformats.org/officeDocument/2006/relationships/officeDocument" Target="/word/document.xml" /><Relationship Id="coreR110B9130" Type="http://schemas.openxmlformats.org/package/2006/relationships/metadata/core-properties" Target="/docProps/core.xml" /><Relationship Id="customR110B91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027" w:type="dxa"/>
        <w:jc w:val="center"/>
        <w:tblLayout w:type="fixed"/>
      </w:tblPr>
      <w:tblGrid/>
      <w:t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bookmarkStart w:id="0" w:name="OLE_LINK1"/>
            <w:bookmarkStart w:id="1" w:name="OLE_LINK2"/>
            <w:r>
              <w:rPr>
                <w:rFonts w:ascii="Calibri" w:hAnsi="Calibri"/>
                <w:sz w:val="22"/>
              </w:rPr>
              <w:t>Version</w:t>
            </w:r>
          </w:p>
        </w:tc>
        <w:tc>
          <w:tcPr>
            <w:tcW w:w="2041"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02"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27, 2007</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28, 2010</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31, 2011</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Grammar and Spelling</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19,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27,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Moved 3</w:t>
            </w:r>
            <w:r>
              <w:rPr>
                <w:rFonts w:ascii="Calibri" w:hAnsi="Calibri"/>
                <w:sz w:val="22"/>
                <w:vertAlign w:val="superscript"/>
              </w:rPr>
              <w:t>rd</w:t>
            </w:r>
            <w:r>
              <w:rPr>
                <w:rFonts w:ascii="Calibri" w:hAnsi="Calibri"/>
                <w:sz w:val="22"/>
              </w:rPr>
              <w:t xml:space="preserve"> level bullet point text to remove white space</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9,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8</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December 17,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Minor clarifications based on comments by Legal Department.  AAM</w:t>
            </w:r>
          </w:p>
        </w:tc>
      </w:tr>
      <w:t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9</w:t>
            </w:r>
          </w:p>
        </w:tc>
        <w:tc>
          <w:tcPr>
            <w:tcW w:w="2041"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January 20, 2020</w:t>
            </w:r>
          </w:p>
        </w:tc>
        <w:tc>
          <w:tcPr>
            <w:tcW w:w="5802"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rPr>
                <w:rFonts w:ascii="Calibri" w:hAnsi="Calibri"/>
                <w:sz w:val="22"/>
              </w:rPr>
              <w:t>Replaced Record Drawings with As-Built Drawings. BM</w:t>
            </w:r>
          </w:p>
        </w:tc>
      </w:tr>
    </w:tbl>
    <w:p>
      <w:pPr>
        <w:pStyle w:val="P1"/>
      </w:pPr>
    </w:p>
    <w:p>
      <w:pPr>
        <w:pStyle w:val="P1"/>
      </w:pPr>
    </w:p>
    <w:p>
      <w:pPr>
        <w:pStyle w:val="P1"/>
        <w:pBdr>
          <w:top w:val="single" w:sz="4" w:space="0" w:shadow="0" w:frame="0"/>
          <w:left w:val="single" w:sz="4" w:space="0" w:shadow="0" w:frame="0"/>
          <w:bottom w:val="single" w:sz="4" w:space="0" w:shadow="0" w:frame="0"/>
          <w:right w:val="single" w:sz="4" w:space="0" w:shadow="0" w:frame="0"/>
        </w:pBdr>
      </w:pPr>
      <w:r>
        <w:t>NOTE:</w:t>
      </w:r>
    </w:p>
    <w:p>
      <w:pPr>
        <w:pStyle w:val="P1"/>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1"/>
      </w:pPr>
    </w:p>
    <w:p>
      <w:pPr>
        <w:pStyle w:val="P1"/>
      </w:pPr>
    </w:p>
    <w:p>
      <w:pPr>
        <w:pStyle w:val="P34"/>
        <w:numPr>
          <w:ilvl w:val="2"/>
          <w:numId w:val="0"/>
        </w:numPr>
        <w:ind w:left="720"/>
        <w:rPr>
          <w:i w:val="1"/>
        </w:rPr>
      </w:pPr>
      <w:bookmarkEnd w:id="0"/>
      <w:bookmarkEnd w:id="1"/>
      <w:r>
        <w:br w:type="page"/>
      </w:r>
      <w:r>
        <w:rPr>
          <w:i w:val="1"/>
          <w:highlight w:val="yellow"/>
        </w:rPr>
        <w:t>[This Section is intended to include basic identification of work, type of Contract, work by others or Region which affect this Contract, work sequence, pre-ordered Products and similar work not readily identifiable from Contract Documents]. Consultant to review with Region on a project basis and modify this section to suit.</w:t>
      </w:r>
    </w:p>
    <w:p>
      <w:pPr>
        <w:pStyle w:val="P32"/>
        <w:numPr>
          <w:ilvl w:val="0"/>
          <w:numId w:val="25"/>
        </w:numPr>
      </w:pPr>
      <w:r>
        <w:t>GENERAL</w:t>
      </w:r>
    </w:p>
    <w:p>
      <w:pPr>
        <w:pStyle w:val="P33"/>
      </w:pPr>
      <w:r>
        <w:t>Related Sections</w:t>
      </w:r>
    </w:p>
    <w:p>
      <w:pPr>
        <w:pStyle w:val="P34"/>
      </w:pPr>
      <w:r>
        <w:t>Section 01040 – Coordination</w:t>
      </w:r>
    </w:p>
    <w:p>
      <w:pPr>
        <w:pStyle w:val="P34"/>
      </w:pPr>
      <w:r>
        <w:t>Section 01425 – Computerized Maintenance Management System Data Requirements</w:t>
      </w:r>
    </w:p>
    <w:p>
      <w:pPr>
        <w:pStyle w:val="P34"/>
      </w:pPr>
      <w:r>
        <w:t>Section 01430 – Operation and Maintenance Data</w:t>
      </w:r>
    </w:p>
    <w:p>
      <w:pPr>
        <w:pStyle w:val="P34"/>
      </w:pPr>
      <w:r>
        <w:t>Section 01450 – As-Built Drawings</w:t>
      </w:r>
    </w:p>
    <w:p>
      <w:pPr>
        <w:pStyle w:val="P34"/>
      </w:pPr>
      <w:r>
        <w:t>Section 01501 – Construction Sequencing</w:t>
      </w:r>
    </w:p>
    <w:p>
      <w:pPr>
        <w:pStyle w:val="P34"/>
      </w:pPr>
      <w:r>
        <w:t>Section 01750 – Disinfection and Testing of Water Retaining Structures and Process Piping</w:t>
      </w:r>
    </w:p>
    <w:p>
      <w:pPr>
        <w:pStyle w:val="P34"/>
      </w:pPr>
      <w:r>
        <w:t>Section 01810 – Equipment Testing and Equipment Commissioning</w:t>
      </w:r>
    </w:p>
    <w:p>
      <w:pPr>
        <w:pStyle w:val="P34"/>
      </w:pPr>
      <w:r>
        <w:t xml:space="preserve">Section 01820 – Demonstration and Training </w:t>
      </w:r>
    </w:p>
    <w:p>
      <w:pPr>
        <w:pStyle w:val="P33"/>
      </w:pPr>
      <w:r>
        <w:t>Work covered by the Contract Documents.</w:t>
      </w:r>
    </w:p>
    <w:p>
      <w:pPr>
        <w:pStyle w:val="P34"/>
      </w:pPr>
      <w:r>
        <w:t xml:space="preserve">Upon completion of the Work, the Region will be provided with </w:t>
      </w:r>
      <w:r>
        <w:rPr>
          <w:i w:val="1"/>
          <w:highlight w:val="yellow"/>
        </w:rPr>
        <w:t>[provide description of project].</w:t>
      </w:r>
    </w:p>
    <w:p>
      <w:pPr>
        <w:pStyle w:val="P34"/>
      </w:pPr>
      <w:r>
        <w:t xml:space="preserve">Each Section of the Specifications is not necessarily complete in itself.  The Contractor shall read each Section in conjunction with all of the other Contract Documents.  The Contractor shall also ensure that all Subcontractors read the relevant documents and comply with the requirements.</w:t>
      </w:r>
    </w:p>
    <w:p>
      <w:pPr>
        <w:pStyle w:val="P34"/>
      </w:pPr>
      <w:r>
        <w:t>In general the scope of the Work to be completed under this Contract includes the following:</w:t>
      </w:r>
    </w:p>
    <w:p>
      <w:pPr>
        <w:pStyle w:val="P35"/>
      </w:pPr>
      <w:r>
        <w:t xml:space="preserve">Construct and test foundations, structures, roads, pipelines, buildings, tunnels, tanks, galleries and other facilities. </w:t>
      </w:r>
    </w:p>
    <w:p>
      <w:pPr>
        <w:pStyle w:val="P35"/>
      </w:pPr>
      <w:r>
        <w:t>Supervise, organize, coordinate and direct all construction operations of sub-trades and suppliers.</w:t>
      </w:r>
    </w:p>
    <w:p>
      <w:pPr>
        <w:pStyle w:val="P35"/>
      </w:pPr>
      <w:r>
        <w:t xml:space="preserve">Supply, install, test, startup (Section 01810 – Equipment Testing and Equipment Commissioning), and put in continuous successful operation all equipment and appurtenances. Include Operations and Maintenance manuals (Section 01430 – Operation and Maintenance Data), training (Section 01820 – Demonstration and Training) and operating assistance to the Region. </w:t>
      </w:r>
    </w:p>
    <w:p>
      <w:pPr>
        <w:pStyle w:val="P35"/>
      </w:pPr>
      <w:r>
        <w:t>Provide all equipment tagging and information as per Section 01425 – Computerized Maintenance Management System Data Requirements.</w:t>
      </w:r>
    </w:p>
    <w:p>
      <w:pPr>
        <w:pStyle w:val="P35"/>
      </w:pPr>
      <w:r>
        <w:t>Perform the disinfection of all applicable structures prior to testing and commissioning. All disinfection to be coordinated with the Region (Section 01750 – Disinfection and Testing of Water Retaining Structures and Process Piping).</w:t>
      </w:r>
    </w:p>
    <w:p>
      <w:pPr>
        <w:pStyle w:val="P35"/>
      </w:pPr>
      <w:r>
        <w:t xml:space="preserve">In addition to constructing the works shown on the Drawings, the design of, construction of and maintenance of, all temporary works and facilities necessary for the successful execution and completion of the Contract Work. Remove temporary works and facilities when construction is completed. Temporary works and facilities include, but are not limited to the following: </w:t>
      </w:r>
    </w:p>
    <w:p>
      <w:pPr>
        <w:pStyle w:val="P42"/>
      </w:pPr>
      <w:r>
        <w:t>Sheeting systems for excavations regardless of whether part or all is left in place.</w:t>
      </w:r>
    </w:p>
    <w:p>
      <w:pPr>
        <w:pStyle w:val="P42"/>
      </w:pPr>
      <w:r>
        <w:t xml:space="preserve">Construction of roads, bridges, ramps, accesses, and similar items as applicable. </w:t>
      </w:r>
    </w:p>
    <w:p>
      <w:pPr>
        <w:pStyle w:val="P42"/>
      </w:pPr>
      <w:r>
        <w:t>Dewatering systems.</w:t>
      </w:r>
    </w:p>
    <w:p>
      <w:pPr>
        <w:pStyle w:val="P42"/>
      </w:pPr>
      <w:r>
        <w:t>Formwork for concrete.</w:t>
      </w:r>
    </w:p>
    <w:p>
      <w:pPr>
        <w:pStyle w:val="P42"/>
      </w:pPr>
      <w:r>
        <w:t xml:space="preserve">False-work and bracing for formwork or for other parts of the works while under construction. </w:t>
      </w:r>
    </w:p>
    <w:p>
      <w:pPr>
        <w:pStyle w:val="P42"/>
      </w:pPr>
      <w:r>
        <w:t xml:space="preserve">Bracing and shoring for partially completed masonry, steelwork, precast concrete, or other assembly. </w:t>
      </w:r>
    </w:p>
    <w:p>
      <w:pPr>
        <w:pStyle w:val="P42"/>
      </w:pPr>
      <w:r>
        <w:t>Scaffolding.</w:t>
      </w:r>
    </w:p>
    <w:p>
      <w:pPr>
        <w:pStyle w:val="P42"/>
      </w:pPr>
      <w:r>
        <w:t xml:space="preserve">Safety barriers, railings, fences and devices. </w:t>
      </w:r>
    </w:p>
    <w:p>
      <w:pPr>
        <w:pStyle w:val="P42"/>
      </w:pPr>
      <w:r>
        <w:t xml:space="preserve">Construction fencing for site security. </w:t>
      </w:r>
    </w:p>
    <w:p>
      <w:pPr>
        <w:pStyle w:val="P42"/>
      </w:pPr>
      <w:r>
        <w:t xml:space="preserve">Erosion control works such as silt fence, check dams, sediment control tanks/ponds etc . </w:t>
      </w:r>
    </w:p>
    <w:p>
      <w:pPr>
        <w:pStyle w:val="P42"/>
      </w:pPr>
      <w:r>
        <w:t>Provision of temporary power and equipment as required maintaining operation of existing facility.</w:t>
      </w:r>
    </w:p>
    <w:p>
      <w:pPr>
        <w:pStyle w:val="P42"/>
      </w:pPr>
      <w:r>
        <w:t xml:space="preserve">Provision of temporary enclosures to separate the construction areas from existing facilities. </w:t>
      </w:r>
    </w:p>
    <w:p>
      <w:pPr>
        <w:pStyle w:val="P42"/>
      </w:pPr>
      <w:r>
        <w:t>Provision of exterior site security, including monitoring of entrances into the working plant buildings.</w:t>
      </w:r>
    </w:p>
    <w:p>
      <w:pPr>
        <w:pStyle w:val="P42"/>
      </w:pPr>
      <w:r>
        <w:t>Clearing of the site.</w:t>
      </w:r>
    </w:p>
    <w:p>
      <w:pPr>
        <w:pStyle w:val="P42"/>
      </w:pPr>
      <w:r>
        <w:t>Cleaning and restoration upon completion.</w:t>
      </w:r>
    </w:p>
    <w:p>
      <w:pPr>
        <w:pStyle w:val="P42"/>
      </w:pPr>
      <w:r>
        <w:t>Site drainage and run-off control during construction.</w:t>
      </w:r>
    </w:p>
    <w:p>
      <w:pPr>
        <w:pStyle w:val="P42"/>
      </w:pPr>
      <w:r>
        <w:t>Pre-construction condition survey of on-site buildings.</w:t>
      </w:r>
    </w:p>
    <w:p>
      <w:pPr>
        <w:pStyle w:val="P42"/>
      </w:pPr>
      <w:r>
        <w:t>Construction, maintenance, and removal of temporary access roads.</w:t>
      </w:r>
    </w:p>
    <w:p>
      <w:pPr>
        <w:pStyle w:val="P42"/>
      </w:pPr>
      <w:r>
        <w:t>Relocation of existing landscaping trees/shrubs.</w:t>
      </w:r>
    </w:p>
    <w:p>
      <w:pPr>
        <w:pStyle w:val="P42"/>
      </w:pPr>
      <w:r>
        <w:t>Excavation, dewatering excavations, backfilling and disposal of surplus materials.</w:t>
      </w:r>
    </w:p>
    <w:p>
      <w:pPr>
        <w:pStyle w:val="P42"/>
      </w:pPr>
      <w:r>
        <w:t>Fencing, lighting and watching.</w:t>
      </w:r>
    </w:p>
    <w:p>
      <w:pPr>
        <w:pStyle w:val="P42"/>
      </w:pPr>
      <w:r>
        <w:t>Furnishing of materials, equipment, tools, implements and labour.</w:t>
      </w:r>
    </w:p>
    <w:p>
      <w:pPr>
        <w:pStyle w:val="P42"/>
      </w:pPr>
      <w:r>
        <w:t>Construction of the complete works as specified herein.</w:t>
      </w:r>
    </w:p>
    <w:p>
      <w:pPr>
        <w:pStyle w:val="P42"/>
      </w:pPr>
      <w:r>
        <w:t>Watermain construction including disinfection and testing.</w:t>
      </w:r>
    </w:p>
    <w:p>
      <w:pPr>
        <w:pStyle w:val="P42"/>
      </w:pPr>
      <w:r>
        <w:t>Maintenance and cleaning existing roads used during construction and leaving them in as good or better condition as existed prior to commencement of site work.</w:t>
      </w:r>
    </w:p>
    <w:p>
      <w:pPr>
        <w:pStyle w:val="P42"/>
      </w:pPr>
      <w:r>
        <w:t>Installation of all equipment supplied under this Contract including pre- purchased equipment, perform equipment testing, start-up, commissioning and placing into successful continuous operation.</w:t>
      </w:r>
    </w:p>
    <w:p>
      <w:pPr>
        <w:pStyle w:val="P42"/>
      </w:pPr>
      <w:r>
        <w:t>Protection of all newly installed instrumentation and equipment and maintaining in as-new condition for the duration of the construction and commissioning period.</w:t>
      </w:r>
    </w:p>
    <w:p>
      <w:pPr>
        <w:pStyle w:val="P42"/>
      </w:pPr>
      <w:r>
        <w:t>Assistance to the Region during initial operating period.</w:t>
      </w:r>
    </w:p>
    <w:p>
      <w:pPr>
        <w:pStyle w:val="P42"/>
      </w:pPr>
      <w:r>
        <w:t>Performance testing of each process constructed under this Contract.</w:t>
      </w:r>
    </w:p>
    <w:p>
      <w:pPr>
        <w:pStyle w:val="P42"/>
      </w:pPr>
      <w:r>
        <w:t>Utility relocations.</w:t>
      </w:r>
    </w:p>
    <w:p>
      <w:pPr>
        <w:pStyle w:val="P42"/>
      </w:pPr>
      <w:r>
        <w:t>Sheeting and shoring.</w:t>
      </w:r>
    </w:p>
    <w:p>
      <w:pPr>
        <w:pStyle w:val="P42"/>
      </w:pPr>
      <w:r>
        <w:t>Water tightness testing.</w:t>
      </w:r>
    </w:p>
    <w:p>
      <w:pPr>
        <w:pStyle w:val="P42"/>
      </w:pPr>
      <w:r>
        <w:t>Gas tightness testing.</w:t>
      </w:r>
    </w:p>
    <w:p>
      <w:pPr>
        <w:pStyle w:val="P42"/>
      </w:pPr>
      <w:r>
        <w:t>Disinfection of applicable structures, appurtenances and equipment.</w:t>
      </w:r>
    </w:p>
    <w:p>
      <w:pPr>
        <w:pStyle w:val="P42"/>
      </w:pPr>
      <w:r>
        <w:t>Cleaning up of all spillages occurring during performance testing and initial operation.</w:t>
      </w:r>
    </w:p>
    <w:p>
      <w:pPr>
        <w:pStyle w:val="P42"/>
      </w:pPr>
      <w:r>
        <w:t>Complete restoration of the site.</w:t>
      </w:r>
    </w:p>
    <w:p>
      <w:pPr>
        <w:pStyle w:val="P33"/>
      </w:pPr>
      <w:r>
        <w:t>Other Contractors</w:t>
      </w:r>
    </w:p>
    <w:p>
      <w:pPr>
        <w:pStyle w:val="P34"/>
      </w:pPr>
      <w:r>
        <w:t xml:space="preserve">The Region will notify the Contractor of any work to be performed by Other Contractors. </w:t>
      </w:r>
      <w:r>
        <w:rPr>
          <w:i w:val="1"/>
          <w:highlight w:val="yellow"/>
        </w:rPr>
        <w:t>[Verify with Region and amend this clause to suit.]</w:t>
      </w:r>
    </w:p>
    <w:p>
      <w:pPr>
        <w:pStyle w:val="P34"/>
      </w:pPr>
      <w:r>
        <w:t xml:space="preserve">Other contracts have been, are being, or will be performed by Other Contractors to support this project.  These are listed in Section 01040 - Coordination.</w:t>
      </w:r>
    </w:p>
    <w:p>
      <w:pPr>
        <w:pStyle w:val="P33"/>
      </w:pPr>
      <w:r>
        <w:t>Provisions for Future Work</w:t>
      </w:r>
    </w:p>
    <w:p>
      <w:pPr>
        <w:pStyle w:val="P34"/>
      </w:pPr>
      <w:r>
        <w:t>Any provisions for known future construction are shown on the Drawings.</w:t>
      </w:r>
    </w:p>
    <w:p>
      <w:pPr>
        <w:pStyle w:val="P33"/>
      </w:pPr>
      <w:r>
        <w:t>Work Sequence</w:t>
      </w:r>
    </w:p>
    <w:p>
      <w:pPr>
        <w:pStyle w:val="P34"/>
      </w:pPr>
      <w:r>
        <w:t>The Contractor shall be allowed to determine its own method of construction within the terms of the Contract, so long as certain constraints defined in Section 01040 - Coordination and the Supplementary Conditions are observed and the Work is completed within the Contract Time.</w:t>
      </w:r>
    </w:p>
    <w:p>
      <w:pPr>
        <w:pStyle w:val="P34"/>
      </w:pPr>
      <w:r>
        <w:t>Conform to the requirements of Section 01501 - Construction Sequencing.</w:t>
      </w:r>
    </w:p>
    <w:p>
      <w:pPr>
        <w:pStyle w:val="P33"/>
      </w:pPr>
      <w:r>
        <w:t>Engineering Design</w:t>
      </w:r>
    </w:p>
    <w:p>
      <w:pPr>
        <w:pStyle w:val="P34"/>
      </w:pPr>
      <w:r>
        <w:t>Where the Contract specifications require work to be designed by an engineer, the Contractor shall engage an engineer licensed in the Province of Ontario to design such work.</w:t>
      </w:r>
    </w:p>
    <w:p>
      <w:pPr>
        <w:pStyle w:val="P33"/>
      </w:pPr>
      <w:r>
        <w:t>Work Compliance</w:t>
      </w:r>
    </w:p>
    <w:p>
      <w:pPr>
        <w:pStyle w:val="P34"/>
      </w:pPr>
      <w:r>
        <w:t>Provide all work conforming to the lines, levels and grades specified or shown on the Contract Drawings.</w:t>
      </w:r>
    </w:p>
    <w:p>
      <w:pPr>
        <w:pStyle w:val="P34"/>
      </w:pPr>
      <w:r>
        <w:t>Build all work in a thoroughly substantial and workmanlike manner, in accordance with the Contract Drawings and Specification Sections, subject to such modifications and additions as may be deemed necessary during its execution. In no case will payment be made for any work in excess of the requirements of the Drawings and Specification Sections, unless approved in writing by the Consultant and the Region.</w:t>
      </w:r>
    </w:p>
    <w:p>
      <w:pPr>
        <w:pStyle w:val="P33"/>
      </w:pPr>
      <w:r>
        <w:t>Contract Drawings</w:t>
      </w:r>
    </w:p>
    <w:p>
      <w:pPr>
        <w:pStyle w:val="P34"/>
      </w:pPr>
      <w:r>
        <w:t>The Drawings are prepared in SI metric units.</w:t>
      </w:r>
    </w:p>
    <w:p>
      <w:pPr>
        <w:pStyle w:val="P34"/>
      </w:pPr>
      <w:r>
        <w:t>For easy reference, the Contract Drawings have been divided into logical sections defining all aspects of the Contract. Read the Drawings as a whole, since details applicable to one Section may appear on the Drawings of another Section or Sections.</w:t>
      </w:r>
    </w:p>
    <w:p>
      <w:pPr>
        <w:pStyle w:val="P34"/>
      </w:pPr>
      <w:r>
        <w:t>Additional drawings showing details for construction of the work may be supplied from time to time by the Region. Such drawings are for information and to assist the Contractor and will not become a basis for extra payment. Drawings covering additional work may be supplied by the Region during performance of the Contract. These will be identified as additional work.</w:t>
      </w:r>
    </w:p>
    <w:p>
      <w:pPr>
        <w:pStyle w:val="P34"/>
      </w:pPr>
      <w:r>
        <w:t>Contract Drawings give the general location of piping routes and equipment. Except where specific dimensions are indicated, locate new equipment and piping to limit interference with existing equipment not to be removed, pedestrian access, crane routes and required headroom.</w:t>
      </w:r>
    </w:p>
    <w:p>
      <w:pPr>
        <w:pStyle w:val="P33"/>
      </w:pPr>
      <w:r>
        <w:t>On-site Documents</w:t>
      </w:r>
    </w:p>
    <w:p>
      <w:pPr>
        <w:pStyle w:val="P34"/>
      </w:pPr>
      <w:r>
        <w:t>Maintain documents as indicated in Section 01450 – As-Built Drawings at the Site.</w:t>
      </w:r>
    </w:p>
    <w:p>
      <w:pPr>
        <w:pStyle w:val="P33"/>
      </w:pPr>
      <w:r>
        <w:t>Contractor’s Use of Site</w:t>
      </w:r>
    </w:p>
    <w:p>
      <w:pPr>
        <w:pStyle w:val="P34"/>
      </w:pPr>
      <w:r>
        <w:t xml:space="preserve">The Contractor shall arrange with the Region for easements for construction, storage and access to all of the Work within the Region’s property limits.  The Contractor shall conform to the requirements of Section 01040 - Coordination.</w:t>
      </w:r>
    </w:p>
    <w:p>
      <w:pPr>
        <w:pStyle w:val="P34"/>
      </w:pPr>
      <w:r>
        <w:t xml:space="preserve">The Contractor shall make arrangements with private property owners if additional areas are required.  The Contractor shall obtain written agreements and submit copies to the Consultant prior to entering upon any private property.</w:t>
      </w:r>
    </w:p>
    <w:p>
      <w:pPr>
        <w:pStyle w:val="P34"/>
      </w:pPr>
      <w:r>
        <w:t>The Contractor shall confine its operations within the easements for construction, storage and access.</w:t>
      </w:r>
    </w:p>
    <w:p>
      <w:pPr>
        <w:pStyle w:val="P34"/>
      </w:pPr>
      <w:r>
        <w:t>The Contractor shall install and maintain temporary fencing, a minimum of 1.5 m high, along all working and storage areas and access routes.</w:t>
      </w:r>
    </w:p>
    <w:p>
      <w:pPr>
        <w:pStyle w:val="P34"/>
      </w:pPr>
      <w:r>
        <w:t>The Contractor shall not enter upon or occupy with workers, equipment, tools or materials, any lands other than public streets, roadways, rights-of-way or easements shown on the Contract Drawings except after written consent has been received from the private property owner and the Region.</w:t>
      </w:r>
    </w:p>
    <w:p>
      <w:pPr>
        <w:pStyle w:val="P34"/>
      </w:pPr>
      <w:r>
        <w:t>The construction of the Work shall be carried out in such a manner that minimizes any inconvenience caused to the owners and occupants of properties adjacent to the Site.</w:t>
      </w:r>
    </w:p>
    <w:p>
      <w:pPr>
        <w:pStyle w:val="P34"/>
      </w:pPr>
      <w:r>
        <w:t xml:space="preserve">All materials shall be stored separately on the Site at locations agreed upon with the Consultant and shall be suitably protected to prevent their deterioration or the ingress of foreign matter.  Any material which, in the opinion of the Consultant, has deteriorated or been damaged shall be removed immediately from the Site at the Contractor's expense.</w:t>
        <w:tab/>
      </w:r>
    </w:p>
    <w:p>
      <w:pPr>
        <w:pStyle w:val="P34"/>
      </w:pPr>
      <w:r>
        <w:t xml:space="preserve">The flow in existing drains and ditches shall be maintained by the Contractor at all times at no extra cost to the Region.  During the construction of the facilities, the Contractor shall liaise with the Consultant to schedule the Work in order to ensure continual flow.</w:t>
      </w:r>
    </w:p>
    <w:p>
      <w:pPr>
        <w:pStyle w:val="P34"/>
      </w:pPr>
      <w:r>
        <w:t xml:space="preserve">The Contractor shall obtain the prior written approval of the Consultant for all tie-in work to the existing facilities.  The Region’s staff will operate any valve, switch, or other control on existing facilities.</w:t>
      </w:r>
    </w:p>
    <w:p>
      <w:pPr>
        <w:pStyle w:val="P34"/>
      </w:pPr>
      <w:r>
        <w:t xml:space="preserve">The Region will permit the Contractor’s connection to and reasonable use of the Region’s supply of water, electricity and chemicals for the construction and commissioning of the Work. With the prior written permission of the Region, the Contractor may make arrangements for, and bear the costs of providing such temporary connections to existing systems. The Contractor will be required to pay for all utilities used and to meet any requirements that the Region may have. </w:t>
      </w:r>
      <w:r>
        <w:rPr>
          <w:i w:val="1"/>
          <w:highlight w:val="yellow"/>
        </w:rPr>
        <w:t>[Verify</w:t>
      </w:r>
      <w:r>
        <w:rPr>
          <w:i w:val="1"/>
          <w:highlight w:val="yellow"/>
        </w:rPr>
        <w:t xml:space="preserve"> with Region and amend to suit]</w:t>
      </w:r>
    </w:p>
    <w:p>
      <w:pPr>
        <w:pStyle w:val="P34"/>
      </w:pPr>
      <w:r>
        <w:t>The Contractor shall coordinate use of the premises under direction of the Consultant.</w:t>
      </w:r>
    </w:p>
    <w:p>
      <w:pPr>
        <w:pStyle w:val="P34"/>
      </w:pPr>
      <w:r>
        <w:t>The Contractor shall obtain and pay for use of additional storage or work areas needed for operations under this Contract.</w:t>
      </w:r>
    </w:p>
    <w:p>
      <w:pPr>
        <w:pStyle w:val="P34"/>
      </w:pPr>
      <w:r>
        <w:t>The Contractor shall remove or alter existing work to prevent injury or damage to portions of existing work which remain.</w:t>
      </w:r>
    </w:p>
    <w:p>
      <w:pPr>
        <w:pStyle w:val="P34"/>
      </w:pPr>
      <w:r>
        <w:t>The Contractor shall repair or replace portions of existing work which have been altered during construction operations to match the existing or adjoining work, as directed by the Consultant.</w:t>
      </w:r>
    </w:p>
    <w:p>
      <w:pPr>
        <w:pStyle w:val="P33"/>
      </w:pPr>
      <w:r>
        <w:t>Region Occupancy</w:t>
      </w:r>
    </w:p>
    <w:p>
      <w:pPr>
        <w:pStyle w:val="P34"/>
      </w:pPr>
      <w:r>
        <w:t>The Region will occupy the premises during the entire Contract period for the execution of normal operations.</w:t>
        <w:br w:type="textWrapping"/>
        <w:t>[Delete if not applicable or amend to suit].</w:t>
      </w:r>
    </w:p>
    <w:p>
      <w:pPr>
        <w:pStyle w:val="P34"/>
      </w:pPr>
      <w:r>
        <w:t>The Contractor shall cooperate with the Region in scheduling its operations so as to minimize any potential conflicts and to facilitate the Region’s use of the facility.</w:t>
        <w:br w:type="textWrapping"/>
        <w:t>[Delete if not applicable or amend to suit].</w:t>
      </w:r>
    </w:p>
    <w:p>
      <w:pPr>
        <w:pStyle w:val="P34"/>
      </w:pPr>
      <w:r>
        <w:t>The Contractor shall maintain free access and parking for the Region at all times.</w:t>
      </w:r>
    </w:p>
    <w:p>
      <w:pPr>
        <w:pStyle w:val="P33"/>
      </w:pPr>
      <w:r>
        <w:t>Partial Region Occupancy</w:t>
      </w:r>
    </w:p>
    <w:p>
      <w:pPr>
        <w:pStyle w:val="P34"/>
      </w:pPr>
      <w:r>
        <w:t>The Region’s use, operation or occupancy of any component of the Work prior to Substantial Performance of the Work does not constitute acceptance of the Work or any part thereof, and does not relieve the Contractor from the requirement to maintain all bonding and insurance as required by the Contract Documents.</w:t>
      </w:r>
    </w:p>
    <w:p>
      <w:pPr>
        <w:pStyle w:val="P34"/>
      </w:pPr>
      <w:r>
        <w:t>The Contractor shall schedule and complete designated portions of the Work in order to allow for the Region's occupancy prior to Substantial Performance of the Work.</w:t>
      </w:r>
    </w:p>
    <w:p>
      <w:pPr>
        <w:pStyle w:val="P34"/>
      </w:pPr>
      <w:r>
        <w:t>The Contractor shall provide additional warranties for any equipment, materials and Work that is required to be placed into service and used by the Region in order to maintain the Region’s operations in accordance with the sequence of construction until the issuance of Substantial Performance of the Work.</w:t>
      </w:r>
    </w:p>
    <w:p>
      <w:pPr>
        <w:pStyle w:val="P34"/>
      </w:pPr>
      <w:r>
        <w:t xml:space="preserve">The Region will occupy designated areas for the purpose of maintaining its operations in order to ensure a safe and continuous </w:t>
      </w:r>
      <w:r>
        <w:rPr>
          <w:i w:val="1"/>
          <w:highlight w:val="yellow"/>
        </w:rPr>
        <w:t>[water supply to</w:t>
      </w:r>
      <w:r>
        <w:t xml:space="preserve">] </w:t>
      </w:r>
      <w:r>
        <w:rPr>
          <w:i w:val="1"/>
          <w:highlight w:val="yellow"/>
        </w:rPr>
        <w:t>[sewage disposal for</w:t>
      </w:r>
      <w:r>
        <w:t>] consumers.</w:t>
        <w:br w:type="textWrapping"/>
      </w:r>
      <w:r>
        <w:rPr>
          <w:i w:val="1"/>
          <w:highlight w:val="yellow"/>
        </w:rPr>
        <w:t>[Modify to suit].</w:t>
      </w:r>
    </w:p>
    <w:p>
      <w:pPr>
        <w:pStyle w:val="P34"/>
        <w:rPr>
          <w:u w:val="single"/>
        </w:rPr>
      </w:pPr>
      <w:r>
        <w:t>In the event of any conflicts between this Section and the General Conditions and/or the Supplementary Conditions, the more stringent requirement(s) shall apply.</w:t>
        <w:br w:type="textWrapping"/>
      </w:r>
      <w:r>
        <w:rPr>
          <w:i w:val="1"/>
          <w:highlight w:val="yellow"/>
        </w:rPr>
        <w:t>[Modify to suit].</w:t>
      </w:r>
    </w:p>
    <w:p>
      <w:pPr>
        <w:pStyle w:val="P33"/>
      </w:pPr>
      <w:r>
        <w:t>Region Furnished Items.</w:t>
      </w:r>
    </w:p>
    <w:p>
      <w:pPr>
        <w:pStyle w:val="P34"/>
      </w:pPr>
      <w:r>
        <w:t>The Contractor shall incorporate existing equipment and materials as shown on the Contract Drawings.</w:t>
        <w:br w:type="textWrapping"/>
      </w:r>
      <w:r>
        <w:rPr>
          <w:i w:val="1"/>
          <w:highlight w:val="yellow"/>
        </w:rPr>
        <w:t>[Modify to suit. Consult Region for list].</w:t>
      </w:r>
    </w:p>
    <w:p>
      <w:pPr>
        <w:pStyle w:val="P34"/>
      </w:pPr>
      <w:r>
        <w:t>The Region will provide as-constructed drawings of the existing facilities if required by the Contractor.</w:t>
      </w:r>
    </w:p>
    <w:p>
      <w:pPr>
        <w:pStyle w:val="P33"/>
      </w:pPr>
      <w:r>
        <w:t>Warranty Inspection</w:t>
      </w:r>
    </w:p>
    <w:p>
      <w:pPr>
        <w:pStyle w:val="P34"/>
      </w:pPr>
      <w:r>
        <w:t xml:space="preserve">The Consultant will arrange and conduct, with the Region and the Contractor, a warranty inspection at the Site prior to the expiration of the warranty period.  Any deficiencies or outstanding Work identified during this inspection shall be remedied by the Contractor forthwith at no cost to the Region.</w:t>
      </w:r>
    </w:p>
    <w:p>
      <w:pPr>
        <w:pStyle w:val="P33"/>
      </w:pPr>
      <w:r>
        <w:t>Provincial Standards</w:t>
      </w:r>
    </w:p>
    <w:p>
      <w:pPr>
        <w:pStyle w:val="P34"/>
      </w:pPr>
      <w:r>
        <w:t>In reading, interpreting and applying the Ontario Provincial Standards or Ministry of Transportation Ontario specifications, any reference in the Contract Documents and Drawings to the “Ministry”, “Crown”, “Department of Highways Ontario”, “Department of Transport”, Ministry of Transportation and Communications (MTC)”, “Ministry of Transportation (MTO)”, “Authority”, “Region”, “Corporation”, “Region” or its agents shall mean the Regional Municipality of York or its agents.</w:t>
      </w:r>
    </w:p>
    <w:p>
      <w:pPr>
        <w:pStyle w:val="P34"/>
      </w:pPr>
      <w:r>
        <w:t xml:space="preserve">Ontario Provincial Standard Specifications (OPSS) current at the date of tendering shall apply to this Contract unless superseded by York Region standards and/or specific requirements of the Contract. OPSS are not bound in the Contract Documents; however, the Contractor shall be required to comply with the OPSS. Copies of the OPSS and OPSD can be reviewed on line at </w:t>
      </w:r>
      <w:r>
        <w:fldChar w:fldCharType="begin"/>
      </w:r>
      <w:r>
        <w:instrText xml:space="preserve"> HYPERLINK "https://www.raqsb.mto.gov.on.ca/techpubs/ops.nsf/OPSHomepage" </w:instrText>
      </w:r>
      <w:r>
        <w:fldChar w:fldCharType="separate"/>
      </w:r>
      <w:r>
        <w:rPr>
          <w:rStyle w:val="C2"/>
        </w:rPr>
        <w:t>https://www.raqsb.mto.gov.on.ca/techpubs/ops.nsf/OPSHomepage</w:t>
      </w:r>
      <w:r>
        <w:rPr>
          <w:rStyle w:val="C2"/>
        </w:rPr>
        <w:fldChar w:fldCharType="end"/>
      </w:r>
      <w:r>
        <w:t>.</w:t>
      </w:r>
    </w:p>
    <w:p>
      <w:pPr>
        <w:pStyle w:val="P34"/>
      </w:pPr>
      <w:r>
        <w:t>Some of the above provincial standards specify payments based on measurement and at unit price. The Work identified in these standards shall not be measured and will be deemed to be included in the Contract Price submitted by the Contractor.</w:t>
      </w:r>
    </w:p>
    <w:p>
      <w:pPr>
        <w:pStyle w:val="P32"/>
      </w:pPr>
      <w:r>
        <w:t>PRODUCTS (NOT USED)</w:t>
      </w:r>
    </w:p>
    <w:p>
      <w:pPr>
        <w:pStyle w:val="P32"/>
      </w:pPr>
      <w:r>
        <w:t>EXECUTION (NOT USED)</w:t>
      </w:r>
    </w:p>
    <w:p>
      <w:pPr>
        <w:pStyle w:val="P18"/>
        <w:spacing w:before="240"/>
        <w:jc w:val="center"/>
        <w:rPr>
          <w:rFonts w:ascii="Calibri" w:hAnsi="Calibri"/>
          <w:b w:val="1"/>
          <w:sz w:val="22"/>
        </w:rPr>
      </w:pPr>
      <w:r>
        <w:rPr>
          <w:rFonts w:ascii="Calibri" w:hAnsi="Calibri"/>
          <w:b w:val="1"/>
          <w:sz w:val="22"/>
        </w:rPr>
        <w:t>END OF SECTION</w:t>
      </w:r>
    </w:p>
    <w:p>
      <w:pPr>
        <w:pStyle w:val="P1"/>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01010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S</w:t>
    </w:r>
    <w:r>
      <w:rPr>
        <w:rFonts w:ascii="Arial" w:hAnsi="Arial"/>
        <w:b w:val="1"/>
      </w:rPr>
      <w:t>UMMARY OF WORK</w:t>
    </w:r>
    <w:r>
      <w:rPr>
        <w:rFonts w:ascii="Arial" w:hAnsi="Arial"/>
      </w:rPr>
      <w:tab/>
      <w:t>2012-03-19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19"/>
        <w:rFonts w:ascii="Arial" w:hAnsi="Arial"/>
        <w:caps w:val="1"/>
        <w:sz w:val="22"/>
      </w:rPr>
      <w:instrText xml:space="preserve"> NUMPAGES </w:instrText>
    </w:r>
    <w:r>
      <w:rPr>
        <w:rStyle w:val="C19"/>
        <w:rFonts w:ascii="Arial" w:hAnsi="Arial"/>
      </w:rPr>
      <w:fldChar w:fldCharType="separate"/>
    </w:r>
    <w:r>
      <w:rPr>
        <w:rStyle w:val="C19"/>
        <w:rFonts w:ascii="Arial" w:hAnsi="Arial"/>
        <w:caps w:val="1"/>
        <w:sz w:val="22"/>
      </w:rPr>
      <w:t>#</w:t>
    </w:r>
    <w:r>
      <w:rPr>
        <w:rStyle w:val="C19"/>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Contract Number]</w:t>
    </w:r>
    <w:r>
      <w:tab/>
      <w:t>Section 01010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SUMMARY OF WORK</w:t>
    </w:r>
    <w:r>
      <w:tab/>
      <w:t>2020-01-20</w:t>
    </w:r>
  </w:p>
  <w:p>
    <w:pPr>
      <w:pBdr>
        <w:top w:val="single" w:sz="4" w:space="0" w:shadow="0" w:frame="0"/>
      </w:pBdr>
      <w:tabs>
        <w:tab w:val="center" w:pos="5175" w:leader="none"/>
        <w:tab w:val="right" w:pos="1008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Bdr>
        <w:top w:val="single" w:sz="4" w:space="0" w:shadow="0" w:frame="0"/>
      </w:pBdr>
      <w:tabs>
        <w:tab w:val="center" w:pos="5175" w:leader="none"/>
        <w:tab w:val="right" w:pos="1035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01010</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2020-01-20</w:t>
    </w:r>
    <w:r>
      <w:rPr>
        <w:b w:val="1"/>
      </w:rPr>
      <w:tab/>
      <w:t>SUMMARY OF WORK</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DATE</w:t>
    </w:r>
    <w:r>
      <w:rPr>
        <w:highlight w:val="yellow"/>
      </w:rPr>
      <w:t xml:space="preserve">:  [Insert Date, (e.g. Jan., 2020)]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25F6632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4F1510D"/>
    <w:multiLevelType w:val="hybridMultilevel"/>
    <w:lvl w:ilvl="0" w:tplc="2F1B718E">
      <w:start w:val="1"/>
      <w:numFmt w:val="bullet"/>
      <w:suff w:val="tab"/>
      <w:lvlText w:val=""/>
      <w:lvlJc w:val="left"/>
      <w:pPr>
        <w:ind w:hanging="360" w:left="720"/>
        <w:tabs>
          <w:tab w:val="left" w:pos="720" w:leader="none"/>
        </w:tabs>
      </w:pPr>
      <w:rPr>
        <w:rFonts w:ascii="Symbol" w:hAnsi="Symbol"/>
      </w:rPr>
    </w:lvl>
    <w:lvl w:ilvl="1" w:tplc="29BAA571">
      <w:start w:val="1"/>
      <w:numFmt w:val="bullet"/>
      <w:suff w:val="tab"/>
      <w:lvlText w:val="o"/>
      <w:lvlJc w:val="left"/>
      <w:pPr>
        <w:ind w:hanging="360" w:left="1440"/>
        <w:tabs>
          <w:tab w:val="left" w:pos="1440" w:leader="none"/>
        </w:tabs>
      </w:pPr>
      <w:rPr>
        <w:rFonts w:ascii="Courier New" w:hAnsi="Courier New"/>
      </w:rPr>
    </w:lvl>
    <w:lvl w:ilvl="2" w:tplc="62A2C527">
      <w:start w:val="1"/>
      <w:numFmt w:val="bullet"/>
      <w:suff w:val="tab"/>
      <w:lvlText w:val=""/>
      <w:lvlJc w:val="left"/>
      <w:pPr>
        <w:ind w:hanging="360" w:left="2160"/>
        <w:tabs>
          <w:tab w:val="left" w:pos="2160" w:leader="none"/>
        </w:tabs>
      </w:pPr>
      <w:rPr>
        <w:rFonts w:ascii="Wingdings" w:hAnsi="Wingdings"/>
      </w:rPr>
    </w:lvl>
    <w:lvl w:ilvl="3" w:tplc="7B84DCC6">
      <w:start w:val="1"/>
      <w:numFmt w:val="bullet"/>
      <w:suff w:val="tab"/>
      <w:lvlText w:val=""/>
      <w:lvlJc w:val="left"/>
      <w:pPr>
        <w:ind w:hanging="360" w:left="2880"/>
        <w:tabs>
          <w:tab w:val="left" w:pos="2880" w:leader="none"/>
        </w:tabs>
      </w:pPr>
      <w:rPr>
        <w:rFonts w:ascii="Symbol" w:hAnsi="Symbol"/>
      </w:rPr>
    </w:lvl>
    <w:lvl w:ilvl="4" w:tplc="4802B635">
      <w:start w:val="1"/>
      <w:numFmt w:val="bullet"/>
      <w:suff w:val="tab"/>
      <w:lvlText w:val="o"/>
      <w:lvlJc w:val="left"/>
      <w:pPr>
        <w:ind w:hanging="360" w:left="3600"/>
        <w:tabs>
          <w:tab w:val="left" w:pos="3600" w:leader="none"/>
        </w:tabs>
      </w:pPr>
      <w:rPr>
        <w:rFonts w:ascii="Courier New" w:hAnsi="Courier New"/>
      </w:rPr>
    </w:lvl>
    <w:lvl w:ilvl="5" w:tplc="1AB999D1">
      <w:start w:val="1"/>
      <w:numFmt w:val="bullet"/>
      <w:suff w:val="tab"/>
      <w:lvlText w:val=""/>
      <w:lvlJc w:val="left"/>
      <w:pPr>
        <w:ind w:hanging="360" w:left="4320"/>
        <w:tabs>
          <w:tab w:val="left" w:pos="4320" w:leader="none"/>
        </w:tabs>
      </w:pPr>
      <w:rPr>
        <w:rFonts w:ascii="Wingdings" w:hAnsi="Wingdings"/>
      </w:rPr>
    </w:lvl>
    <w:lvl w:ilvl="6" w:tplc="2F36D70F">
      <w:start w:val="1"/>
      <w:numFmt w:val="bullet"/>
      <w:suff w:val="tab"/>
      <w:lvlText w:val=""/>
      <w:lvlJc w:val="left"/>
      <w:pPr>
        <w:ind w:hanging="360" w:left="5040"/>
        <w:tabs>
          <w:tab w:val="left" w:pos="5040" w:leader="none"/>
        </w:tabs>
      </w:pPr>
      <w:rPr>
        <w:rFonts w:ascii="Symbol" w:hAnsi="Symbol"/>
      </w:rPr>
    </w:lvl>
    <w:lvl w:ilvl="7" w:tplc="4BA1EC98">
      <w:start w:val="1"/>
      <w:numFmt w:val="bullet"/>
      <w:suff w:val="tab"/>
      <w:lvlText w:val="o"/>
      <w:lvlJc w:val="left"/>
      <w:pPr>
        <w:ind w:hanging="360" w:left="5760"/>
        <w:tabs>
          <w:tab w:val="left" w:pos="5760" w:leader="none"/>
        </w:tabs>
      </w:pPr>
      <w:rPr>
        <w:rFonts w:ascii="Courier New" w:hAnsi="Courier New"/>
      </w:rPr>
    </w:lvl>
    <w:lvl w:ilvl="8" w:tplc="4848BB6A">
      <w:start w:val="1"/>
      <w:numFmt w:val="bullet"/>
      <w:suff w:val="tab"/>
      <w:lvlText w:val=""/>
      <w:lvlJc w:val="left"/>
      <w:pPr>
        <w:ind w:hanging="360" w:left="6480"/>
        <w:tabs>
          <w:tab w:val="left" w:pos="6480" w:leader="none"/>
        </w:tabs>
      </w:pPr>
      <w:rPr>
        <w:rFonts w:ascii="Wingdings" w:hAnsi="Wingdings"/>
      </w:rPr>
    </w:lvl>
  </w:abstractNum>
  <w:abstractNum w:abstractNumId="2">
    <w:nsid w:val="0D0B23F2"/>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C813A69"/>
    <w:multiLevelType w:val="hybridMultilevel"/>
    <w:lvl w:ilvl="0" w:tplc="19AD4CD7">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D9B615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8">
    <w:nsid w:val="2FEA6C0B"/>
    <w:multiLevelType w:val="hybridMultilevel"/>
    <w:lvl w:ilvl="0" w:tplc="22B15ADA">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34BC45AD"/>
    <w:multiLevelType w:val="multilevel"/>
    <w:lvl w:ilvl="0">
      <w:start w:val="1"/>
      <w:numFmt w:val="decimal"/>
      <w:suff w:val="tab"/>
      <w:lvlText w:val="PART %1."/>
      <w:lvlJc w:val="left"/>
      <w:pPr>
        <w:ind w:hanging="432" w:left="432"/>
        <w:tabs>
          <w:tab w:val="left" w:pos="432" w:leader="none"/>
        </w:tabs>
      </w:pPr>
      <w:rPr>
        <w:rFonts w:ascii="Calibri" w:hAnsi="Calibri"/>
        <w:b w:val="0"/>
        <w:i w:val="0"/>
        <w:sz w:val="22"/>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3">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sz w:val="22"/>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b w:val="0"/>
        <w:i w:val="0"/>
        <w:caps w:val="0"/>
        <w:strike w:val="0"/>
        <w:vanish w:val="0"/>
        <w:sz w:val="22"/>
        <w:u w:val="none"/>
        <w:vertAlign w:val="baseline"/>
      </w:rPr>
    </w:lvl>
    <w:lvl w:ilvl="4">
      <w:start w:val="1"/>
      <w:numFmt w:val="decimal"/>
      <w:suff w:val="tab"/>
      <w:lvlText w:val=".%5"/>
      <w:lvlJc w:val="left"/>
      <w:pPr>
        <w:ind w:firstLine="4320" w:left="1080"/>
        <w:tabs>
          <w:tab w:val="left" w:pos="1080" w:leader="none"/>
        </w:tabs>
      </w:pPr>
      <w:rPr>
        <w:rFonts w:ascii="Calibri" w:hAnsi="Calibri"/>
        <w:b w:val="0"/>
        <w:i w:val="0"/>
        <w:sz w:val="22"/>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75353443"/>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6">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3"/>
  </w:num>
  <w:num w:numId="14">
    <w:abstractNumId w:val="6"/>
  </w:num>
  <w:num w:numId="15">
    <w:abstractNumId w:val="14"/>
  </w:num>
  <w:num w:numId="16">
    <w:abstractNumId w:val="5"/>
  </w:num>
  <w:num w:numId="17">
    <w:abstractNumId w:val="10"/>
  </w:num>
  <w:num w:numId="18">
    <w:abstractNumId w:val="3"/>
  </w:num>
  <w:num w:numId="19">
    <w:abstractNumId w:val="16"/>
  </w:num>
  <w:num w:numId="20">
    <w:abstractNumId w:val="9"/>
  </w:num>
  <w:num w:numId="21">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3"/>
  </w:num>
  <w:num w:numId="28">
    <w:abstractNumId w:val="13"/>
  </w:num>
  <w:num w:numId="29">
    <w:abstractNumId w:val="13"/>
  </w:num>
  <w:num w:numId="30">
    <w:abstractNumId w:val="13"/>
  </w:num>
  <w:num w:numId="31">
    <w:abstractNumId w:val="2"/>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1"/>
  </w:num>
  <w:num w:numId="35">
    <w:abstractNumId w:val="11"/>
    <w:lvlOverride w:ilvl="0">
      <w:lvl w:ilvl="0">
        <w:start w:val="1"/>
        <w:numFmt w:val="decimal"/>
        <w:suff w:val="tab"/>
        <w:lvlText w:val="PART %1."/>
        <w:lvlJc w:val="left"/>
        <w:pPr>
          <w:ind w:hanging="432" w:left="432"/>
          <w:tabs>
            <w:tab w:val="left" w:pos="432" w:leader="none"/>
          </w:tabs>
        </w:pPr>
        <w:rPr>
          <w:rFonts w:ascii="Calibri" w:hAnsi="Calibri"/>
          <w:b w:val="0"/>
          <w:i w:val="0"/>
          <w:sz w:val="22"/>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774"/>
          <w:tabs>
            <w:tab w:val="left" w:pos="774" w:leader="none"/>
          </w:tabs>
        </w:pPr>
        <w:rPr/>
      </w:lvl>
    </w:lvlOverride>
    <w:lvlOverride w:ilvl="4">
      <w:lvl w:ilvl="4">
        <w:start w:val="1"/>
        <w:numFmt w:val="decimal"/>
        <w:suff w:val="tab"/>
        <w:lvlText w:val=".%5"/>
        <w:lvlJc w:val="left"/>
        <w:pPr>
          <w:ind w:firstLine="4320" w:left="1080"/>
          <w:tabs>
            <w:tab w:val="left" w:pos="1080" w:leader="none"/>
          </w:tabs>
        </w:pPr>
        <w:rPr/>
      </w:lvl>
    </w:lvlOverride>
    <w:lvlOverride w:ilvl="5">
      <w:lvl w:ilvl="5">
        <w:start w:val="1"/>
        <w:numFmt w:val="decimal"/>
        <w:suff w:val="tab"/>
        <w:lvlText w:val="%1.%2.%3.%4.%5.%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36">
    <w:abstractNumId w:val="13"/>
    <w:lvlOverride w:ilvl="0">
      <w:lvl w:ilvl="0">
        <w:start w:val="1"/>
        <w:numFmt w:val="decimal"/>
        <w:suff w:val="tab"/>
        <w:lvlText w:val="PART %1."/>
        <w:lvlJc w:val="left"/>
        <w:pPr>
          <w:ind w:hanging="432" w:left="432"/>
          <w:tabs>
            <w:tab w:val="left" w:pos="432" w:leader="none"/>
          </w:tabs>
        </w:pPr>
        <w:rPr>
          <w:rFonts w:ascii="Calibri" w:hAnsi="Calibri"/>
          <w:b w:val="0"/>
          <w:i w:val="0"/>
          <w:sz w:val="22"/>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774"/>
          <w:tabs>
            <w:tab w:val="left" w:pos="774" w:leader="none"/>
          </w:tabs>
        </w:pPr>
        <w:rPr>
          <w:b w:val="0"/>
          <w:i w:val="0"/>
          <w:caps w:val="0"/>
          <w:strike w:val="0"/>
          <w:vanish w:val="0"/>
          <w:sz w:val="22"/>
          <w:u w:val="none"/>
          <w:vertAlign w:val="baseline"/>
        </w:rPr>
      </w:lvl>
    </w:lvlOverride>
    <w:lvlOverride w:ilvl="4">
      <w:lvl w:ilvl="4">
        <w:start w:val="1"/>
        <w:numFmt w:val="decimal"/>
        <w:suff w:val="tab"/>
        <w:lvlText w:val=".%5"/>
        <w:lvlJc w:val="left"/>
        <w:pPr>
          <w:ind w:firstLine="4320" w:left="1080"/>
          <w:tabs>
            <w:tab w:val="left" w:pos="1080" w:leader="none"/>
          </w:tabs>
        </w:pPr>
        <w:rPr>
          <w:rFonts w:ascii="Calibri" w:hAnsi="Calibri"/>
          <w:b w:val="0"/>
          <w:i w:val="0"/>
          <w:sz w:val="22"/>
        </w:rPr>
      </w:lvl>
    </w:lvlOverride>
    <w:lvlOverride w:ilvl="5">
      <w:lvl w:ilvl="5">
        <w:start w:val="1"/>
        <w:numFmt w:val="decimal"/>
        <w:suff w:val="tab"/>
        <w:lvlText w:val="%1.%2.%3.%4.%5.%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37">
    <w:abstractNumId w:val="7"/>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12"/>
    <w:pPr>
      <w:spacing w:after="160"/>
    </w:pPr>
    <w:rPr/>
  </w:style>
  <w:style w:type="paragraph" w:styleId="P2">
    <w:name w:val="Comment Text"/>
    <w:basedOn w:val="P0"/>
    <w:next w:val="P2"/>
    <w:link w:val="C14"/>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21"/>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link w:val="C15"/>
    <w:pPr>
      <w:tabs>
        <w:tab w:val="right" w:pos="9000" w:leader="none"/>
      </w:tabs>
    </w:pPr>
    <w:rPr>
      <w:rFonts w:ascii="Arial Narrow" w:hAnsi="Arial Narrow"/>
      <w:caps w:val="1"/>
      <w:sz w:val="14"/>
    </w:rPr>
  </w:style>
  <w:style w:type="paragraph" w:styleId="P7">
    <w:name w:val="Header"/>
    <w:basedOn w:val="P0"/>
    <w:next w:val="P7"/>
    <w:link w:val="C18"/>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20"/>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link w:val="C22"/>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2"/>
    <w:pPr>
      <w:keepNext w:val="1"/>
      <w:spacing w:after="0"/>
    </w:pPr>
    <w:rPr>
      <w:b w:val="1"/>
      <w:caps w:val="1"/>
      <w:sz w:val="20"/>
    </w:rPr>
  </w:style>
  <w:style w:type="paragraph" w:styleId="P25">
    <w:name w:val="Footnote Text"/>
    <w:basedOn w:val="P1"/>
    <w:next w:val="P25"/>
    <w:link w:val="C17"/>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8"/>
    <w:pPr>
      <w:tabs>
        <w:tab w:val="right" w:pos="8640" w:leader="dot"/>
      </w:tabs>
      <w:spacing w:after="0"/>
    </w:pPr>
    <w:rPr>
      <w:b w:val="1"/>
    </w:rPr>
  </w:style>
  <w:style w:type="paragraph" w:styleId="P29">
    <w:name w:val="Caption"/>
    <w:basedOn w:val="P4"/>
    <w:next w:val="P0"/>
    <w:pPr>
      <w:spacing w:lineRule="auto" w:line="240"/>
    </w:pPr>
    <w:rPr>
      <w:rFonts w:ascii="Calibri" w:hAnsi="Calibri"/>
      <w:color w:val="4F81BD"/>
      <w:sz w:val="18"/>
    </w:rPr>
  </w:style>
  <w:style w:type="paragraph" w:styleId="P30">
    <w:name w:val="Exhibit--Number"/>
    <w:basedOn w:val="P4"/>
    <w:next w:val="P39"/>
    <w:pPr>
      <w:spacing w:before="160"/>
    </w:pPr>
    <w:rPr>
      <w:caps w:val="1"/>
      <w:sz w:val="18"/>
    </w:rPr>
  </w:style>
  <w:style w:type="paragraph" w:styleId="P31">
    <w:name w:val="Table Body"/>
    <w:basedOn w:val="P9"/>
    <w:next w:val="P31"/>
    <w:pPr>
      <w:jc w:val="left"/>
    </w:pPr>
    <w:rPr>
      <w:b w:val="0"/>
    </w:rPr>
  </w:style>
  <w:style w:type="paragraph" w:styleId="P32">
    <w:name w:val="Heading 1"/>
    <w:aliases w:val="Heading 1S"/>
    <w:basedOn w:val="P22"/>
    <w:next w:val="P32"/>
    <w:link w:val="C3"/>
    <w:qFormat/>
    <w:pPr>
      <w:numPr>
        <w:numId w:val="46"/>
      </w:numPr>
      <w:spacing w:before="160"/>
      <w:contextualSpacing w:val="0"/>
      <w:outlineLvl w:val="0"/>
    </w:pPr>
    <w:rPr/>
  </w:style>
  <w:style w:type="paragraph" w:styleId="P33">
    <w:name w:val="Heading 2"/>
    <w:aliases w:val="Heading 2S"/>
    <w:basedOn w:val="P22"/>
    <w:next w:val="P0"/>
    <w:link w:val="C4"/>
    <w:qFormat/>
    <w:pPr>
      <w:numPr>
        <w:ilvl w:val="1"/>
        <w:numId w:val="46"/>
      </w:numPr>
      <w:spacing w:before="80"/>
      <w:outlineLvl w:val="1"/>
    </w:pPr>
    <w:rPr>
      <w:u w:val="single"/>
    </w:rPr>
  </w:style>
  <w:style w:type="paragraph" w:styleId="P34">
    <w:name w:val="Heading 3"/>
    <w:aliases w:val="Heading 3S"/>
    <w:basedOn w:val="P22"/>
    <w:next w:val="P34"/>
    <w:link w:val="C5"/>
    <w:qFormat/>
    <w:pPr>
      <w:numPr>
        <w:ilvl w:val="2"/>
        <w:numId w:val="46"/>
      </w:numPr>
      <w:contextualSpacing w:val="1"/>
      <w:outlineLvl w:val="2"/>
    </w:pPr>
    <w:rPr/>
  </w:style>
  <w:style w:type="paragraph" w:styleId="P35">
    <w:name w:val="Heading 4"/>
    <w:aliases w:val="Heading 4S"/>
    <w:basedOn w:val="P22"/>
    <w:next w:val="P35"/>
    <w:link w:val="C6"/>
    <w:qFormat/>
    <w:pPr>
      <w:numPr>
        <w:ilvl w:val="3"/>
        <w:numId w:val="46"/>
      </w:numPr>
      <w:contextualSpacing w:val="1"/>
      <w:outlineLvl w:val="3"/>
    </w:pPr>
    <w:rPr/>
  </w:style>
  <w:style w:type="paragraph" w:styleId="P36">
    <w:name w:val="Heading 7"/>
    <w:basedOn w:val="P22"/>
    <w:next w:val="P0"/>
    <w:link w:val="C9"/>
    <w:qFormat/>
    <w:pPr>
      <w:numPr>
        <w:ilvl w:val="6"/>
        <w:numId w:val="46"/>
      </w:numPr>
      <w:contextualSpacing w:val="1"/>
      <w:outlineLvl w:val="6"/>
    </w:pPr>
    <w:rPr/>
  </w:style>
  <w:style w:type="paragraph" w:styleId="P37">
    <w:name w:val="List Bullet"/>
    <w:basedOn w:val="P23"/>
    <w:next w:val="P37"/>
    <w:pPr>
      <w:numPr>
        <w:numId w:val="32"/>
      </w:numPr>
    </w:pPr>
    <w:rPr/>
  </w:style>
  <w:style w:type="paragraph" w:styleId="P38">
    <w:name w:val="TOC 2"/>
    <w:basedOn w:val="P28"/>
    <w:next w:val="P44"/>
    <w:pPr>
      <w:tabs>
        <w:tab w:val="left" w:pos="1008" w:leader="none"/>
      </w:tabs>
      <w:ind w:left="720"/>
    </w:pPr>
    <w:rPr>
      <w:b w:val="0"/>
    </w:rPr>
  </w:style>
  <w:style w:type="paragraph" w:styleId="P39">
    <w:name w:val="Exhibit--Title"/>
    <w:basedOn w:val="P30"/>
    <w:next w:val="P45"/>
    <w:pPr>
      <w:spacing w:before="0"/>
    </w:pPr>
    <w:rPr>
      <w:b w:val="1"/>
      <w:caps w:val="0"/>
      <w:sz w:val="20"/>
    </w:rPr>
  </w:style>
  <w:style w:type="paragraph" w:styleId="P40">
    <w:name w:val="Table Notes"/>
    <w:basedOn w:val="P31"/>
    <w:next w:val="P40"/>
    <w:pPr>
      <w:spacing w:after="320"/>
    </w:pPr>
    <w:rPr/>
  </w:style>
  <w:style w:type="paragraph" w:styleId="P41">
    <w:name w:val="Contents"/>
    <w:basedOn w:val="P32"/>
    <w:next w:val="P1"/>
    <w:pPr/>
    <w:rPr/>
  </w:style>
  <w:style w:type="paragraph" w:styleId="P42">
    <w:name w:val="Heading 5"/>
    <w:aliases w:val="Heading 5S"/>
    <w:basedOn w:val="P35"/>
    <w:next w:val="P42"/>
    <w:link w:val="C7"/>
    <w:qFormat/>
    <w:pPr>
      <w:numPr>
        <w:ilvl w:val="4"/>
        <w:numId w:val="46"/>
      </w:numPr>
      <w:outlineLvl w:val="4"/>
    </w:pPr>
    <w:rPr/>
  </w:style>
  <w:style w:type="paragraph" w:styleId="P43">
    <w:name w:val="Heading 8"/>
    <w:basedOn w:val="P36"/>
    <w:next w:val="P0"/>
    <w:link w:val="C10"/>
    <w:qFormat/>
    <w:pPr>
      <w:numPr>
        <w:ilvl w:val="7"/>
        <w:numId w:val="46"/>
      </w:numPr>
      <w:outlineLvl w:val="7"/>
    </w:pPr>
    <w:rPr/>
  </w:style>
  <w:style w:type="paragraph" w:styleId="P44">
    <w:name w:val="TOC 3"/>
    <w:basedOn w:val="P38"/>
    <w:next w:val="P44"/>
    <w:pPr>
      <w:tabs>
        <w:tab w:val="clear" w:pos="1008" w:leader="none"/>
        <w:tab w:val="left" w:pos="1728" w:leader="none"/>
      </w:tabs>
      <w:ind w:left="1440"/>
    </w:pPr>
    <w:rPr/>
  </w:style>
  <w:style w:type="paragraph" w:styleId="P45">
    <w:name w:val="Exhibit--Caption"/>
    <w:basedOn w:val="P39"/>
    <w:next w:val="P1"/>
    <w:pPr/>
    <w:rPr>
      <w:i w:val="1"/>
    </w:rPr>
  </w:style>
  <w:style w:type="paragraph" w:styleId="P46">
    <w:name w:val="Heading 6"/>
    <w:aliases w:val="Heading 6S"/>
    <w:basedOn w:val="P42"/>
    <w:next w:val="P0"/>
    <w:link w:val="C8"/>
    <w:qFormat/>
    <w:pPr>
      <w:numPr>
        <w:ilvl w:val="5"/>
        <w:numId w:val="46"/>
      </w:numPr>
      <w:outlineLvl w:val="5"/>
    </w:pPr>
    <w:rPr/>
  </w:style>
  <w:style w:type="paragraph" w:styleId="P47">
    <w:name w:val="Heading 9"/>
    <w:basedOn w:val="P43"/>
    <w:next w:val="P0"/>
    <w:link w:val="C11"/>
    <w:qFormat/>
    <w:pPr>
      <w:numPr>
        <w:ilvl w:val="8"/>
        <w:numId w:val="27"/>
      </w:numPr>
      <w:tabs>
        <w:tab w:val="clear" w:pos="1584" w:leader="none"/>
        <w:tab w:val="left" w:pos="5760" w:leader="none"/>
      </w:tabs>
      <w:ind w:hanging="720" w:left="5760"/>
      <w:outlineLvl w:val="8"/>
    </w:pPr>
    <w:rPr/>
  </w:style>
  <w:style w:type="paragraph" w:styleId="P48">
    <w:name w:val="TOC 4"/>
    <w:basedOn w:val="P44"/>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aliases w:val="Heading 1S Char"/>
    <w:link w:val="P32"/>
    <w:rPr/>
  </w:style>
  <w:style w:type="character" w:styleId="C4">
    <w:name w:val="Heading 2 Char"/>
    <w:aliases w:val="Heading 2S Char"/>
    <w:link w:val="P33"/>
    <w:rPr>
      <w:u w:val="single"/>
    </w:rPr>
  </w:style>
  <w:style w:type="character" w:styleId="C5">
    <w:name w:val="Heading 3 Char"/>
    <w:aliases w:val="Heading 3S Char"/>
    <w:link w:val="P34"/>
    <w:rPr/>
  </w:style>
  <w:style w:type="character" w:styleId="C6">
    <w:name w:val="Heading 4 Char"/>
    <w:aliases w:val="Heading 4S Char"/>
    <w:link w:val="P35"/>
    <w:rPr/>
  </w:style>
  <w:style w:type="character" w:styleId="C7">
    <w:name w:val="Heading 5 Char"/>
    <w:aliases w:val="Heading 5S Char"/>
    <w:link w:val="P42"/>
    <w:rPr/>
  </w:style>
  <w:style w:type="character" w:styleId="C8">
    <w:name w:val="Heading 6 Char"/>
    <w:aliases w:val="Heading 6S Char"/>
    <w:link w:val="P46"/>
    <w:rPr/>
  </w:style>
  <w:style w:type="character" w:styleId="C9">
    <w:name w:val="Heading 7 Char"/>
    <w:link w:val="P36"/>
    <w:rPr/>
  </w:style>
  <w:style w:type="character" w:styleId="C10">
    <w:name w:val="Heading 8 Char"/>
    <w:link w:val="P43"/>
    <w:rPr/>
  </w:style>
  <w:style w:type="character" w:styleId="C11">
    <w:name w:val="Heading 9 Char"/>
    <w:link w:val="P47"/>
    <w:rPr/>
  </w:style>
  <w:style w:type="character" w:styleId="C12">
    <w:name w:val="Body Text Char"/>
    <w:link w:val="P1"/>
    <w:rPr/>
  </w:style>
  <w:style w:type="character" w:styleId="C13">
    <w:name w:val="Comment Reference"/>
    <w:rPr>
      <w:rFonts w:ascii="Arial" w:hAnsi="Arial"/>
      <w:color w:val="FF0000"/>
      <w:sz w:val="20"/>
    </w:rPr>
  </w:style>
  <w:style w:type="character" w:styleId="C14">
    <w:name w:val="Comment Text Char"/>
    <w:link w:val="P2"/>
    <w:rPr>
      <w:rFonts w:ascii="Arial" w:hAnsi="Arial"/>
    </w:rPr>
  </w:style>
  <w:style w:type="character" w:styleId="C15">
    <w:name w:val="Footer Char"/>
    <w:link w:val="P6"/>
    <w:rPr>
      <w:rFonts w:ascii="Arial Narrow" w:hAnsi="Arial Narrow"/>
      <w:caps w:val="1"/>
      <w:sz w:val="14"/>
    </w:rPr>
  </w:style>
  <w:style w:type="character" w:styleId="C16">
    <w:name w:val="Footnote Reference"/>
    <w:rPr>
      <w:rFonts w:ascii="Arial" w:hAnsi="Arial"/>
      <w:sz w:val="16"/>
    </w:rPr>
  </w:style>
  <w:style w:type="character" w:styleId="C17">
    <w:name w:val="Footnote Text Char"/>
    <w:link w:val="P25"/>
    <w:rPr>
      <w:rFonts w:ascii="Arial" w:hAnsi="Arial"/>
      <w:sz w:val="16"/>
    </w:rPr>
  </w:style>
  <w:style w:type="character" w:styleId="C18">
    <w:name w:val="Header Char"/>
    <w:link w:val="P7"/>
    <w:rPr>
      <w:rFonts w:ascii="Arial Narrow" w:hAnsi="Arial Narrow"/>
      <w:caps w:val="1"/>
      <w:sz w:val="14"/>
    </w:rPr>
  </w:style>
  <w:style w:type="character" w:styleId="C19">
    <w:name w:val="Page Number"/>
    <w:rPr>
      <w:sz w:val="16"/>
    </w:rPr>
  </w:style>
  <w:style w:type="character" w:styleId="C20">
    <w:name w:val="Title Char"/>
    <w:link w:val="P10"/>
    <w:rPr>
      <w:rFonts w:ascii="Arial Narrow" w:hAnsi="Arial Narrow"/>
      <w:b w:val="1"/>
    </w:rPr>
  </w:style>
  <w:style w:type="character" w:styleId="C21">
    <w:name w:val="Main-Head Char"/>
    <w:link w:val="P4"/>
    <w:rPr>
      <w:rFonts w:ascii="Arial Narrow" w:hAnsi="Arial Narrow"/>
      <w:b w:val="1"/>
    </w:rPr>
  </w:style>
  <w:style w:type="character" w:styleId="C22">
    <w:name w:val="Balloon Text Char"/>
    <w:link w:val="P21"/>
    <w:rPr>
      <w:rFonts w:ascii="Tahoma" w:hAnsi="Tahoma"/>
      <w:sz w:val="16"/>
    </w:rPr>
  </w:style>
  <w:style w:type="character" w:styleId="C23">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2019-03-04T16:49:00Z</dcterms:created>
  <cp:lastModifiedBy>Ray</cp:lastModifiedBy>
  <cp:lastPrinted>2006-08-29T18:32:00Z</cp:lastPrinted>
  <dcterms:modified xsi:type="dcterms:W3CDTF">2022-10-04T19:38:49Z</dcterms:modified>
  <cp:revision>5</cp:revision>
  <dc:title>01010 Summary of Work</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2020-01-20T00:00:00Z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IconOverlay">
    <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01 - General Requirements/01010 Summary of Work.DOC</vt:lpwstr>
  </property>
  <property fmtid="{D5CDD505-2E9C-101B-9397-08002B2CF9AE}" pid="10" name="Order">
    <vt:lpwstr>220800.000000000</vt:lpwstr>
  </property>
</Properties>
</file>