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338ABC9" Type="http://schemas.openxmlformats.org/officeDocument/2006/relationships/officeDocument" Target="/word/document.xml" /><Relationship Id="coreR4338ABC9" Type="http://schemas.openxmlformats.org/package/2006/relationships/metadata/core-properties" Target="/docProps/core.xml" /><Relationship Id="customR4338AB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18, 2016</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New Specification- AAM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ind w:left="720"/>
        <w:rPr>
          <w:rFonts w:ascii="Calibri" w:hAnsi="Calibri"/>
          <w:u w:val="single"/>
        </w:rPr>
      </w:pPr>
    </w:p>
    <w:p>
      <w:pPr>
        <w:pStyle w:val="P1"/>
        <w:ind w:left="720"/>
        <w:rPr>
          <w:rFonts w:ascii="Calibri" w:hAnsi="Calibri"/>
          <w:u w:val="single"/>
        </w:rPr>
      </w:pPr>
    </w:p>
    <w:p>
      <w:pPr>
        <w:pStyle w:val="P33"/>
      </w:pPr>
      <w:r>
        <w:br w:type="page"/>
        <w:t>GEneral</w:t>
      </w:r>
    </w:p>
    <w:p>
      <w:pPr>
        <w:pStyle w:val="P34"/>
      </w:pPr>
      <w:r>
        <w:t>Scope</w:t>
      </w:r>
    </w:p>
    <w:p>
      <w:pPr>
        <w:pStyle w:val="P35"/>
      </w:pPr>
      <w:r>
        <w:t>This Item includes the following:</w:t>
      </w:r>
    </w:p>
    <w:p>
      <w:pPr>
        <w:pStyle w:val="P36"/>
      </w:pPr>
      <w:r>
        <w:t>Conducting a pre-construction residential and commercial building structure survey along all watermain/ sewer routes and preparation and submission of a condition survey report.</w:t>
      </w:r>
    </w:p>
    <w:p>
      <w:pPr>
        <w:pStyle w:val="P34"/>
      </w:pPr>
      <w:r>
        <w:t>Related Sections</w:t>
      </w:r>
    </w:p>
    <w:p>
      <w:pPr>
        <w:pStyle w:val="P35"/>
        <w:numPr>
          <w:ilvl w:val="2"/>
          <w:numId w:val="0"/>
        </w:numPr>
        <w:ind w:left="720"/>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[List Sections specifying related requirements.]</w:t>
      </w:r>
    </w:p>
    <w:p>
      <w:pPr>
        <w:pStyle w:val="P35"/>
        <w:numPr>
          <w:ilvl w:val="2"/>
          <w:numId w:val="0"/>
        </w:numPr>
        <w:ind w:left="720"/>
      </w:pPr>
      <w:r>
        <w:rPr>
          <w:highlight w:val="yellow"/>
        </w:rPr>
        <w:t xml:space="preserve">Section [______ – ____________]:  [Optional short phrase indicating relationship].</w:t>
      </w:r>
    </w:p>
    <w:p>
      <w:pPr>
        <w:pStyle w:val="P34"/>
      </w:pPr>
      <w:r>
        <w:t>Measurement and Payment</w:t>
      </w:r>
    </w:p>
    <w:p>
      <w:pPr>
        <w:pStyle w:val="P35"/>
      </w:pPr>
      <w:r>
        <w:t>Payment for Item shall be full compensation for all labour, Equipment, and Material to do the work specified under this item. No additional payment shall be made for repeated attempts to contact property owners or tenants. No additional payment shall be made for visits to the properties to attempt to conduct inspections. No additional payment shall be made for a second visit to complete an inspection. No additional payment shall be made for conducting physical inspections during evenings or on weekends. No additional payment shall be made for multiple structures or dwellings on a single property.</w:t>
      </w:r>
    </w:p>
    <w:p>
      <w:pPr>
        <w:pStyle w:val="P35"/>
      </w:pPr>
      <w:r>
        <w:t>For payment purposes, a count will be made of the actual number of property parcels surveyed (denoted as each) for which reports have been provided in a form satisfactory to the Region.</w:t>
      </w:r>
    </w:p>
    <w:p>
      <w:pPr>
        <w:pStyle w:val="P34"/>
      </w:pPr>
      <w:r>
        <w:t>Qualifications of Inspector</w:t>
      </w:r>
    </w:p>
    <w:p>
      <w:pPr>
        <w:pStyle w:val="P35"/>
      </w:pPr>
      <w:r>
        <w:t xml:space="preserve">This work shall be performed by a qualified Subcontractor who is a recognized expert in this field and who shall be acceptable to the Contract Administrator. </w:t>
      </w:r>
    </w:p>
    <w:p>
      <w:pPr>
        <w:pStyle w:val="P35"/>
      </w:pPr>
      <w:r>
        <w:t xml:space="preserve">The Contractor shall submit the name and experience details of their proposed Subcontractor for this work at least one week in advance of commencing work under this item.  </w:t>
      </w:r>
    </w:p>
    <w:p>
      <w:pPr>
        <w:pStyle w:val="P35"/>
      </w:pPr>
      <w:r>
        <w:t>The Subcontractor for this work must be approved by the Contract Administrator prior to commencing work under these items.</w:t>
      </w:r>
    </w:p>
    <w:p>
      <w:pPr>
        <w:pStyle w:val="P34"/>
      </w:pPr>
      <w:r>
        <w:t>Submittals</w:t>
      </w:r>
    </w:p>
    <w:p>
      <w:pPr>
        <w:pStyle w:val="P35"/>
      </w:pPr>
      <w:r>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 structures, and detailing, describing and recording all existing faults, damages, cracks, etc., in each structure.</w:t>
      </w:r>
    </w:p>
    <w:p>
      <w:pPr>
        <w:pStyle w:val="P35"/>
      </w:pPr>
      <w:r>
        <w:t xml:space="preserve">The report shall include a list of all residential buildings/structures and commercial properties/structures not surveyed due to property owner’s refusal to allow entry or due a lack of response on the part of the property owner.  </w:t>
      </w:r>
    </w:p>
    <w:p>
      <w:pPr>
        <w:pStyle w:val="P33"/>
      </w:pPr>
      <w:r>
        <w:t>MATERIALS</w:t>
      </w:r>
    </w:p>
    <w:p>
      <w:pPr>
        <w:pStyle w:val="P35"/>
      </w:pPr>
      <w:r>
        <w:t>Not Used</w:t>
      </w:r>
    </w:p>
    <w:p>
      <w:pPr>
        <w:pStyle w:val="P33"/>
      </w:pPr>
      <w:r>
        <w:t>Execution</w:t>
      </w:r>
    </w:p>
    <w:p>
      <w:pPr>
        <w:pStyle w:val="P35"/>
      </w:pPr>
      <w:r>
        <w:t>Prior to commencing the survey, the Contractor shall provide the Consultant with a list of residential buildings/structures and commercial properties/structures to be inspected and shall add additional buildings/structures and/or commercial properties/structures as directed by the Consultant.</w:t>
      </w:r>
    </w:p>
    <w:p>
      <w:pPr>
        <w:pStyle w:val="P35"/>
      </w:pPr>
      <w:r>
        <w:t>The Contractor shall contact the property owner and, if applicable, the tenant, to arrange for an appointment, at a time convenient to the owner/tenant, to conduct the survey of the structure(s) on each property. This may require that surveys be performed in the evenings or on weekends.</w:t>
      </w:r>
    </w:p>
    <w:p>
      <w:pPr>
        <w:pStyle w:val="P35"/>
      </w:pPr>
      <w:r>
        <w:t>The Contractor shall carry out one test inspection and deliver a draft report to the Consultant for review and comment. The Contractor shall revise and modify the report methods and contents as directed by the Consultant at no additional cost.</w:t>
      </w:r>
    </w:p>
    <w:p>
      <w:pPr>
        <w:pStyle w:val="P35"/>
      </w:pPr>
      <w:r>
        <w:t xml:space="preserve">The Contractor shall conduct a physical inspection of adjacent residential buildings/structures, commercial properties/structures and all on-Site structures (including, but not limited to pools and underground gas tanks) which may be affected by construction activities including vibratory compaction equipment. </w:t>
      </w:r>
    </w:p>
    <w:p>
      <w:pPr>
        <w:pStyle w:val="P35"/>
      </w:pPr>
      <w:r>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 structures, and detailing, describing and recording all existing faults, damages, cracks, etc., in each structure.</w:t>
      </w:r>
    </w:p>
    <w:p>
      <w:pPr>
        <w:pStyle w:val="P18"/>
        <w:spacing w:before="240"/>
        <w:jc w:val="center"/>
        <w:rPr>
          <w:rFonts w:ascii="Calibri" w:hAnsi="Calibri"/>
          <w:b w:val="1"/>
          <w:sz w:val="22"/>
        </w:rPr>
      </w:pPr>
      <w:r>
        <w:rPr>
          <w:rFonts w:ascii="Calibri" w:hAnsi="Calibri"/>
          <w:b w:val="1"/>
          <w:sz w:val="22"/>
        </w:rPr>
        <w:t>END OF SECTION</w:t>
      </w:r>
    </w:p>
    <w:p>
      <w:pPr>
        <w:pStyle w:val="P3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PREPARATION</w:t>
    </w:r>
    <w:r>
      <w:rPr>
        <w:rFonts w:ascii="Arial" w:hAnsi="Arial"/>
      </w:rPr>
      <w:tab/>
      <w:t>2015-04-10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Region Number]</w:t>
    </w:r>
    <w:r>
      <w:tab/>
      <w:t>Section 01710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PRE-CONSTRUCTION STRUCTURAL SURVEY</w:t>
    </w:r>
    <w:r>
      <w:tab/>
      <w:t>2016-03-16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01710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2016-03-18</w:t>
    </w:r>
    <w:r>
      <w:rPr>
        <w:b w:val="1"/>
      </w:rPr>
      <w:tab/>
    </w:r>
    <w:r>
      <w:rPr>
        <w:b w:val="1"/>
      </w:rPr>
      <w:t>PRE-CONSTRUCTION STRUCTURAL SURVEY</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417B813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66474C85">
      <w:start w:val="1"/>
      <w:numFmt w:val="bullet"/>
      <w:suff w:val="tab"/>
      <w:lvlText w:val=""/>
      <w:lvlJc w:val="left"/>
      <w:pPr>
        <w:ind w:hanging="360" w:left="1440"/>
        <w:tabs>
          <w:tab w:val="left" w:pos="1440" w:leader="none"/>
        </w:tabs>
      </w:pPr>
      <w:rPr>
        <w:rFonts w:ascii="Symbol" w:hAnsi="Symbol"/>
      </w:rPr>
    </w:lvl>
    <w:lvl w:ilvl="1" w:tplc="06D97BA7">
      <w:start w:val="1"/>
      <w:numFmt w:val="bullet"/>
      <w:suff w:val="tab"/>
      <w:lvlText w:val="o"/>
      <w:lvlJc w:val="left"/>
      <w:pPr>
        <w:ind w:hanging="360" w:left="2160"/>
        <w:tabs>
          <w:tab w:val="left" w:pos="2160" w:leader="none"/>
        </w:tabs>
      </w:pPr>
      <w:rPr>
        <w:rFonts w:ascii="Courier New" w:hAnsi="Courier New"/>
      </w:rPr>
    </w:lvl>
    <w:lvl w:ilvl="2" w:tplc="502F3AE1">
      <w:start w:val="1"/>
      <w:numFmt w:val="bullet"/>
      <w:suff w:val="tab"/>
      <w:lvlText w:val=""/>
      <w:lvlJc w:val="left"/>
      <w:pPr>
        <w:ind w:hanging="360" w:left="2880"/>
        <w:tabs>
          <w:tab w:val="left" w:pos="2880" w:leader="none"/>
        </w:tabs>
      </w:pPr>
      <w:rPr>
        <w:rFonts w:ascii="Wingdings" w:hAnsi="Wingdings"/>
      </w:rPr>
    </w:lvl>
    <w:lvl w:ilvl="3" w:tplc="6FD065AF">
      <w:start w:val="1"/>
      <w:numFmt w:val="bullet"/>
      <w:suff w:val="tab"/>
      <w:lvlText w:val=""/>
      <w:lvlJc w:val="left"/>
      <w:pPr>
        <w:ind w:hanging="360" w:left="3600"/>
        <w:tabs>
          <w:tab w:val="left" w:pos="3600" w:leader="none"/>
        </w:tabs>
      </w:pPr>
      <w:rPr>
        <w:rFonts w:ascii="Symbol" w:hAnsi="Symbol"/>
      </w:rPr>
    </w:lvl>
    <w:lvl w:ilvl="4" w:tplc="570CC5C8">
      <w:start w:val="1"/>
      <w:numFmt w:val="bullet"/>
      <w:suff w:val="tab"/>
      <w:lvlText w:val="o"/>
      <w:lvlJc w:val="left"/>
      <w:pPr>
        <w:ind w:hanging="360" w:left="4320"/>
        <w:tabs>
          <w:tab w:val="left" w:pos="4320" w:leader="none"/>
        </w:tabs>
      </w:pPr>
      <w:rPr>
        <w:rFonts w:ascii="Courier New" w:hAnsi="Courier New"/>
      </w:rPr>
    </w:lvl>
    <w:lvl w:ilvl="5" w:tplc="39DE3E0F">
      <w:start w:val="1"/>
      <w:numFmt w:val="bullet"/>
      <w:suff w:val="tab"/>
      <w:lvlText w:val=""/>
      <w:lvlJc w:val="left"/>
      <w:pPr>
        <w:ind w:hanging="360" w:left="5040"/>
        <w:tabs>
          <w:tab w:val="left" w:pos="5040" w:leader="none"/>
        </w:tabs>
      </w:pPr>
      <w:rPr>
        <w:rFonts w:ascii="Wingdings" w:hAnsi="Wingdings"/>
      </w:rPr>
    </w:lvl>
    <w:lvl w:ilvl="6" w:tplc="3A2C440E">
      <w:start w:val="1"/>
      <w:numFmt w:val="bullet"/>
      <w:suff w:val="tab"/>
      <w:lvlText w:val=""/>
      <w:lvlJc w:val="left"/>
      <w:pPr>
        <w:ind w:hanging="360" w:left="5760"/>
        <w:tabs>
          <w:tab w:val="left" w:pos="5760" w:leader="none"/>
        </w:tabs>
      </w:pPr>
      <w:rPr>
        <w:rFonts w:ascii="Symbol" w:hAnsi="Symbol"/>
      </w:rPr>
    </w:lvl>
    <w:lvl w:ilvl="7" w:tplc="0F0A8275">
      <w:start w:val="1"/>
      <w:numFmt w:val="bullet"/>
      <w:suff w:val="tab"/>
      <w:lvlText w:val="o"/>
      <w:lvlJc w:val="left"/>
      <w:pPr>
        <w:ind w:hanging="360" w:left="6480"/>
        <w:tabs>
          <w:tab w:val="left" w:pos="6480" w:leader="none"/>
        </w:tabs>
      </w:pPr>
      <w:rPr>
        <w:rFonts w:ascii="Courier New" w:hAnsi="Courier New"/>
      </w:rPr>
    </w:lvl>
    <w:lvl w:ilvl="8" w:tplc="5747B6B2">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C492B6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3C57703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8"/>
  </w:num>
  <w:num w:numId="8">
    <w:abstractNumId w:val="2"/>
  </w:num>
  <w:num w:numId="9">
    <w:abstractNumId w:val="12"/>
  </w:num>
  <w:num w:numId="10">
    <w:abstractNumId w:val="7"/>
  </w:num>
  <w:num w:numId="11">
    <w:abstractNumId w:val="5"/>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20"/>
    <w:pPr>
      <w:spacing w:before="0"/>
    </w:pPr>
    <w:rPr>
      <w:rFonts w:ascii="Calibri" w:hAnsi="Calibri"/>
      <w:b w:val="1"/>
      <w:sz w:val="20"/>
    </w:rPr>
  </w:style>
  <w:style w:type="paragraph" w:styleId="P30">
    <w:name w:val="Caption"/>
    <w:basedOn w:val="P4"/>
    <w:next w:val="P0"/>
    <w:qFormat/>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aliases w:val="Contents - level1 Char"/>
    <w:basedOn w:val="P22"/>
    <w:next w:val="P33"/>
    <w:link w:val="C9"/>
    <w:qFormat/>
    <w:pPr>
      <w:numPr>
        <w:numId w:val="32"/>
      </w:numPr>
      <w:spacing w:before="160"/>
      <w:outlineLvl w:val="0"/>
    </w:pPr>
    <w:rPr>
      <w:caps w:val="1"/>
    </w:rPr>
  </w:style>
  <w:style w:type="paragraph" w:styleId="P34">
    <w:name w:val="Heading 2"/>
    <w:basedOn w:val="P22"/>
    <w:next w:val="P0"/>
    <w:link w:val="C10"/>
    <w:qFormat/>
    <w:pPr>
      <w:numPr>
        <w:ilvl w:val="1"/>
        <w:numId w:val="32"/>
      </w:numPr>
      <w:spacing w:before="80"/>
      <w:outlineLvl w:val="1"/>
    </w:pPr>
    <w:rPr>
      <w:u w:val="single"/>
    </w:rPr>
  </w:style>
  <w:style w:type="paragraph" w:styleId="P35">
    <w:name w:val="Heading 3"/>
    <w:basedOn w:val="P22"/>
    <w:next w:val="P35"/>
    <w:link w:val="C7"/>
    <w:qFormat/>
    <w:pPr>
      <w:numPr>
        <w:ilvl w:val="2"/>
        <w:numId w:val="32"/>
      </w:numPr>
      <w:outlineLvl w:val="2"/>
    </w:pPr>
    <w:rPr/>
  </w:style>
  <w:style w:type="paragraph" w:styleId="P36">
    <w:name w:val="Heading 4"/>
    <w:basedOn w:val="P22"/>
    <w:next w:val="P36"/>
    <w:link w:val="C11"/>
    <w:qFormat/>
    <w:pPr>
      <w:numPr>
        <w:ilvl w:val="3"/>
        <w:numId w:val="32"/>
      </w:numPr>
      <w:outlineLvl w:val="3"/>
    </w:pPr>
    <w:rPr/>
  </w:style>
  <w:style w:type="paragraph" w:styleId="P37">
    <w:name w:val="Heading 7"/>
    <w:basedOn w:val="P22"/>
    <w:next w:val="P0"/>
    <w:link w:val="C14"/>
    <w:qFormat/>
    <w:pPr>
      <w:numPr>
        <w:ilvl w:val="6"/>
        <w:numId w:val="32"/>
      </w:numPr>
      <w:outlineLvl w:val="6"/>
    </w:pPr>
    <w:rPr>
      <w:sz w:val="20"/>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2"/>
    <w:qFormat/>
    <w:pPr>
      <w:numPr>
        <w:ilvl w:val="4"/>
        <w:numId w:val="32"/>
      </w:numPr>
      <w:outlineLvl w:val="4"/>
    </w:pPr>
    <w:rPr/>
  </w:style>
  <w:style w:type="paragraph" w:styleId="P44">
    <w:name w:val="Heading 8"/>
    <w:basedOn w:val="P37"/>
    <w:next w:val="P0"/>
    <w:link w:val="C15"/>
    <w:qFormat/>
    <w:pPr>
      <w:numPr>
        <w:ilvl w:val="7"/>
        <w:numId w:val="32"/>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3"/>
    <w:qFormat/>
    <w:pPr>
      <w:numPr>
        <w:ilvl w:val="5"/>
        <w:numId w:val="32"/>
      </w:numPr>
      <w:outlineLvl w:val="5"/>
    </w:pPr>
    <w:rPr/>
  </w:style>
  <w:style w:type="paragraph" w:styleId="P48">
    <w:name w:val="Heading 9"/>
    <w:basedOn w:val="P44"/>
    <w:next w:val="P0"/>
    <w:link w:val="C16"/>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Heading 1 Char"/>
    <w:link w:val="P33"/>
    <w:rPr>
      <w:caps w:val="1"/>
    </w:rPr>
  </w:style>
  <w:style w:type="character" w:styleId="C10">
    <w:name w:val="Heading 2 Char"/>
    <w:link w:val="P34"/>
    <w:rPr>
      <w:u w:val="single"/>
    </w:rPr>
  </w:style>
  <w:style w:type="character" w:styleId="C11">
    <w:name w:val="Heading 4 Char"/>
    <w:link w:val="P36"/>
    <w:rPr/>
  </w:style>
  <w:style w:type="character" w:styleId="C12">
    <w:name w:val="Heading 5 Char"/>
    <w:link w:val="P43"/>
    <w:rPr/>
  </w:style>
  <w:style w:type="character" w:styleId="C13">
    <w:name w:val="Heading 6 Char"/>
    <w:link w:val="P47"/>
    <w:rPr/>
  </w:style>
  <w:style w:type="character" w:styleId="C14">
    <w:name w:val="Heading 7 Char"/>
    <w:link w:val="P37"/>
    <w:rPr>
      <w:sz w:val="20"/>
    </w:rPr>
  </w:style>
  <w:style w:type="character" w:styleId="C15">
    <w:name w:val="Heading 8 Char"/>
    <w:link w:val="P44"/>
    <w:rPr/>
  </w:style>
  <w:style w:type="character" w:styleId="C16">
    <w:name w:val="Heading 9 Char"/>
    <w:link w:val="P48"/>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29"/>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2016-03-18T15:07:00Z</dcterms:created>
  <cp:lastModifiedBy>Ray</cp:lastModifiedBy>
  <cp:lastPrinted>2006-08-29T18:42:00Z</cp:lastPrinted>
  <dcterms:modified xsi:type="dcterms:W3CDTF">2022-10-04T19:38:50Z</dcterms:modified>
  <cp:revision>3</cp:revision>
  <dc:title>01710_Pre-Construction_Structural_Survey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ENVCPD-83-631</vt:lpwstr>
  </property>
  <property fmtid="{D5CDD505-2E9C-101B-9397-08002B2CF9AE}" pid="5" name="_dlc_DocIdItemGuid">
    <vt:lpwstr>e628e9ae-ecf9-40e9-9634-5c2707c407df</vt:lpwstr>
  </property>
  <property fmtid="{D5CDD505-2E9C-101B-9397-08002B2CF9AE}" pid="6" name="_dlc_DocIdUrl">
    <vt:lpwstr>https://mycloud.york.ca/projects/EnvServProgramDeliveryOffice/ProjectServer/AEL/_layouts/DocIdRedir.aspx?ID=ENVCPD-83-631, ENVCPD-83-631</vt:lpwstr>
  </property>
  <property fmtid="{D5CDD505-2E9C-101B-9397-08002B2CF9AE}" pid="7" name="Last Updated">
    <vt:lpwstr>2016-03-18T00:00:00Z</vt:lpwstr>
  </property>
</Properties>
</file>