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6BCBDC2" Type="http://schemas.openxmlformats.org/officeDocument/2006/relationships/officeDocument" Target="word/document.xml"/><Relationship Id="coreR36BCBDC2" Type="http://schemas.openxmlformats.org/package/2006/relationships/metadata/core-properties" Target="docProps/core.xml"/><Relationship Id="customR36BCBDC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28, 2010</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revisions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10,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Addition of Reference and Replacement parts sections on this page.</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July 5,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Change tab settings for page 1-4.</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9,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General formatting</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11,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lang w:val="en-CA"/>
              </w:rPr>
              <w:t xml:space="preserve">Minor clarifications based on comments by Legal Department.  AAM</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spacing w:before="60" w:after="60" w:beforeAutospacing="0" w:afterAutospacing="0"/>
              <w:rPr>
                <w:rFonts w:ascii="Calibri" w:hAnsi="Calibri"/>
              </w:rPr>
            </w:pPr>
            <w:r>
              <w:rPr>
                <w:rFonts w:ascii="Calibri" w:hAnsi="Calibri"/>
              </w:rPr>
              <w:t>February 21, 2017</w:t>
            </w:r>
          </w:p>
        </w:tc>
        <w:tc>
          <w:tcPr>
            <w:tcW w:w="5802"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Addition of Subsection 1.2 which highlights Contractor responsibilities under the Ontario Underground Infrastructure Notification System Act, 2012. Updated CSA standard references.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single" w:sz="6" w:space="0" w:shadow="0" w:frame="0"/>
              <w:right w:val="single" w:sz="6" w:space="0" w:shadow="0" w:frame="0"/>
            </w:tcBorders>
          </w:tcPr>
          <w:p>
            <w:pPr>
              <w:spacing w:before="60" w:after="60" w:beforeAutospacing="0" w:afterAutospacing="0"/>
              <w:rPr>
                <w:rFonts w:ascii="Calibri" w:hAnsi="Calibri"/>
              </w:rPr>
            </w:pPr>
            <w:r>
              <w:rPr>
                <w:rFonts w:ascii="Calibri" w:hAnsi="Calibri"/>
              </w:rPr>
              <w:t>January 20, 2020</w:t>
            </w:r>
          </w:p>
        </w:tc>
        <w:tc>
          <w:tcPr>
            <w:tcW w:w="5802" w:type="dxa"/>
            <w:tcBorders>
              <w:top w:val="single" w:sz="6" w:space="0" w:shadow="0" w:frame="0"/>
              <w:left w:val="single" w:sz="6" w:space="0" w:shadow="0" w:frame="0"/>
              <w:bottom w:val="single" w:sz="6" w:space="0" w:shadow="0" w:frame="0"/>
              <w:right w:val="double" w:sz="6" w:space="0" w:shadow="0" w:frame="0"/>
            </w:tcBorders>
          </w:tcPr>
          <w:p>
            <w:pPr>
              <w:spacing w:before="60" w:beforeAutospacing="0" w:afterAutospacing="0"/>
              <w:rPr>
                <w:rFonts w:ascii="Calibri" w:hAnsi="Calibri"/>
              </w:rPr>
            </w:pPr>
            <w:r>
              <w:rPr>
                <w:rFonts w:ascii="Calibri" w:hAnsi="Calibri"/>
              </w:rPr>
              <w:t xml:space="preserve">Specification rewritten </w:t>
            </w:r>
          </w:p>
          <w:p>
            <w:pPr>
              <w:rPr>
                <w:rFonts w:ascii="Calibri" w:hAnsi="Calibri"/>
              </w:rPr>
            </w:pPr>
            <w:r>
              <w:rPr>
                <w:rFonts w:ascii="Calibri" w:hAnsi="Calibri"/>
              </w:rPr>
              <w:t>1.3 Added requirements for Site Specific Health and Safety Plan</w:t>
            </w:r>
          </w:p>
          <w:p>
            <w:pPr>
              <w:spacing w:after="60" w:beforeAutospacing="0" w:afterAutospacing="0"/>
              <w:rPr>
                <w:rFonts w:ascii="Calibri" w:hAnsi="Calibri"/>
              </w:rPr>
            </w:pPr>
            <w:r>
              <w:rPr>
                <w:rFonts w:ascii="Calibri" w:hAnsi="Calibri"/>
              </w:rPr>
              <w:t>1.10 Added requirements for Pre-Work Hazard Assessment Form (BM)</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tcPr>
          <w:p>
            <w:pPr>
              <w:pStyle w:val="P45"/>
              <w:jc w:val="center"/>
              <w:rPr>
                <w:rFonts w:ascii="Calibri" w:hAnsi="Calibri"/>
                <w:sz w:val="22"/>
              </w:rPr>
            </w:pPr>
            <w:r>
              <w:rPr>
                <w:rFonts w:ascii="Calibri" w:hAnsi="Calibri"/>
                <w:sz w:val="22"/>
              </w:rPr>
              <w:t>9</w:t>
            </w:r>
          </w:p>
        </w:tc>
        <w:tc>
          <w:tcPr>
            <w:tcW w:w="2041" w:type="dxa"/>
            <w:tcBorders>
              <w:top w:val="single" w:sz="6" w:space="0" w:shadow="0" w:frame="0"/>
              <w:left w:val="single" w:sz="6" w:space="0" w:shadow="0" w:frame="0"/>
              <w:bottom w:val="double" w:sz="6" w:space="0" w:shadow="0" w:frame="0"/>
              <w:right w:val="single" w:sz="6" w:space="0" w:shadow="0" w:frame="0"/>
            </w:tcBorders>
          </w:tcPr>
          <w:p>
            <w:pPr>
              <w:spacing w:before="60" w:after="60" w:beforeAutospacing="0" w:afterAutospacing="0"/>
              <w:rPr>
                <w:rFonts w:ascii="Calibri" w:hAnsi="Calibri"/>
              </w:rPr>
            </w:pPr>
            <w:r>
              <w:rPr>
                <w:rFonts w:ascii="Calibri" w:hAnsi="Calibri"/>
              </w:rPr>
              <w:t>June 22, 2022</w:t>
            </w:r>
          </w:p>
        </w:tc>
        <w:tc>
          <w:tcPr>
            <w:tcW w:w="5802" w:type="dxa"/>
            <w:tcBorders>
              <w:top w:val="single" w:sz="6" w:space="0" w:shadow="0" w:frame="0"/>
              <w:left w:val="single" w:sz="6" w:space="0" w:shadow="0" w:frame="0"/>
              <w:bottom w:val="double" w:sz="6" w:space="0" w:shadow="0" w:frame="0"/>
              <w:right w:val="double" w:sz="6" w:space="0" w:shadow="0" w:frame="0"/>
            </w:tcBorders>
          </w:tcPr>
          <w:p>
            <w:pPr>
              <w:spacing w:before="60" w:after="60" w:beforeAutospacing="0" w:afterAutospacing="0"/>
              <w:rPr>
                <w:rFonts w:ascii="Calibri" w:hAnsi="Calibri"/>
              </w:rPr>
            </w:pPr>
            <w:r>
              <w:rPr>
                <w:rFonts w:ascii="Calibri" w:hAnsi="Calibri"/>
              </w:rPr>
              <w:t>1.8 Added consultant note for supply of spill kits (BM)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2"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2"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2"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2"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r>
        <w:br w:type="page"/>
        <w:t>GENERAL</w:t>
      </w:r>
    </w:p>
    <w:p>
      <w:pPr>
        <w:pStyle w:val="P2"/>
      </w:pPr>
      <w:r>
        <w:t>Measurement and Payment</w:t>
      </w:r>
    </w:p>
    <w:p>
      <w:pPr>
        <w:pStyle w:val="P3"/>
        <w:tabs>
          <w:tab w:val="left" w:pos="-1980" w:leader="none"/>
          <w:tab w:val="clear" w:pos="1440" w:leader="none"/>
        </w:tabs>
      </w:pPr>
      <w:r>
        <w:t xml:space="preserve">The work of this Section will not be measured separately for payment. The work outlined in this Section will be included in the Contract Price. </w:t>
      </w:r>
    </w:p>
    <w:p>
      <w:pPr>
        <w:pStyle w:val="P2"/>
      </w:pPr>
      <w:r>
        <w:t>Construction Safety Measures</w:t>
      </w:r>
    </w:p>
    <w:p>
      <w:pPr>
        <w:pStyle w:val="P3"/>
        <w:tabs>
          <w:tab w:val="left" w:pos="1418" w:leader="none"/>
          <w:tab w:val="clear" w:pos="1440" w:leader="none"/>
        </w:tabs>
        <w:spacing w:before="0" w:beforeAutospacing="0" w:afterAutospacing="0"/>
        <w:contextualSpacing w:val="1"/>
      </w:pPr>
      <w:r>
        <w:t>Comply with all current Federal and Provincial Health and Safety Acts and Regulations, Local Municipality Health and Safety By-Laws and with all applicable industry safety standards.</w:t>
      </w:r>
    </w:p>
    <w:p>
      <w:pPr>
        <w:pStyle w:val="P3"/>
        <w:tabs>
          <w:tab w:val="left" w:pos="1418" w:leader="none"/>
          <w:tab w:val="clear" w:pos="1440" w:leader="none"/>
        </w:tabs>
        <w:spacing w:before="0" w:beforeAutospacing="0" w:afterAutospacing="0"/>
        <w:contextualSpacing w:val="1"/>
      </w:pPr>
      <w:r>
        <w:t xml:space="preserve">Comply with current O. Reg. 213/91 Construction Projects made under the Occupational Health and Safety Act (OHSA).  </w:t>
      </w:r>
    </w:p>
    <w:p>
      <w:pPr>
        <w:pStyle w:val="P3"/>
        <w:tabs>
          <w:tab w:val="left" w:pos="1418" w:leader="none"/>
          <w:tab w:val="clear" w:pos="1440" w:leader="none"/>
        </w:tabs>
        <w:spacing w:before="0" w:beforeAutospacing="0" w:afterAutospacing="0"/>
        <w:contextualSpacing w:val="1"/>
      </w:pPr>
      <w:r>
        <w:t xml:space="preserve">The Contractor performing excavation work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3"/>
      </w:pPr>
      <w:r>
        <w:t>In the event of any conflicts between any provisions of the above authorities, the most stringent provision shall govern.</w:t>
      </w:r>
    </w:p>
    <w:p>
      <w:pPr>
        <w:pStyle w:val="P3"/>
      </w:pPr>
      <w:r>
        <w:t>If any of the Contractor’s or any of the Subcontractors’ workers fail to comply with the OHSA and its Regulations , the Region reserves the right to remove that person(s) from the Site, and they shall not be allowed to return without the Region’s prior, written consent.</w:t>
      </w:r>
    </w:p>
    <w:p>
      <w:pPr>
        <w:pStyle w:val="P3"/>
      </w:pPr>
      <w:r>
        <w:t xml:space="preserve">Provide Consultant with copies of all orders, directions and any other documentation, issued by the Ministry of Labour (MOL), immediately after receipt.  </w:t>
      </w:r>
    </w:p>
    <w:p>
      <w:pPr>
        <w:pStyle w:val="P3"/>
      </w:pPr>
      <w:r>
        <w:t>Ensure applicable items, articles, notices and orders are posted in conspicuous location on site in accordance with the OHSA and its Regulations, and in consultation with Consultant.</w:t>
      </w:r>
    </w:p>
    <w:p>
      <w:pPr>
        <w:pStyle w:val="P2"/>
      </w:pPr>
      <w:r>
        <w:t>Site Specific Health and Safety Plan</w:t>
      </w:r>
    </w:p>
    <w:p>
      <w:pPr>
        <w:pStyle w:val="P3"/>
      </w:pPr>
      <w:r>
        <w:t>The Contractor shall prepare a detailed Site Specific Health and Safety Plan that shall identify, evaluate and control job specific hazards and the necessary control measures to be implemented for managing hazards.</w:t>
      </w:r>
    </w:p>
    <w:p>
      <w:pPr>
        <w:pStyle w:val="P3"/>
      </w:pPr>
      <w:r>
        <w:t>The Contractor is responsible for submitting the Site Specific Health and Safety Plan within five (5) working days prior to mobilization on site.</w:t>
      </w:r>
    </w:p>
    <w:p>
      <w:pPr>
        <w:pStyle w:val="P3"/>
      </w:pPr>
      <w:r>
        <w:t>The site-specific Health and Safety Plan must address the requirements of the OHSA, including, but not limited to the following regulations and their amendments as applicable to the project:</w:t>
      </w:r>
    </w:p>
    <w:p>
      <w:pPr>
        <w:pStyle w:val="P4"/>
      </w:pPr>
      <w:r>
        <w:t>Construction Regulation (O. Reg. 213/91)</w:t>
      </w:r>
    </w:p>
    <w:p>
      <w:pPr>
        <w:pStyle w:val="P4"/>
      </w:pPr>
      <w:r>
        <w:t xml:space="preserve">Designated Substance (O. Reg. 490/09) </w:t>
      </w:r>
    </w:p>
    <w:p>
      <w:pPr>
        <w:pStyle w:val="P4"/>
      </w:pPr>
      <w:r>
        <w:t>Asbestos Regulation (O. Reg. 278/05)</w:t>
      </w:r>
    </w:p>
    <w:p>
      <w:pPr>
        <w:pStyle w:val="P4"/>
      </w:pPr>
      <w:r>
        <w:t>Industrial Establishments Regulation (R.R.O. 1990, Reg. 851)</w:t>
      </w:r>
    </w:p>
    <w:p>
      <w:pPr>
        <w:pStyle w:val="P4"/>
      </w:pPr>
      <w:r>
        <w:t>Confined Spaces Regulation (O. Reg. 632/05)</w:t>
      </w:r>
    </w:p>
    <w:p>
      <w:pPr>
        <w:pStyle w:val="P4"/>
      </w:pPr>
      <w:r>
        <w:t>WHMIS Regulation (R.R.O. 1990, Reg. 860)</w:t>
      </w:r>
    </w:p>
    <w:p>
      <w:pPr>
        <w:pStyle w:val="P3"/>
      </w:pPr>
      <w:r>
        <w:t>The site-specific health and safety plan shall incorporate the following:</w:t>
      </w:r>
    </w:p>
    <w:p>
      <w:pPr>
        <w:pStyle w:val="P4"/>
      </w:pPr>
      <w:r>
        <w:t>Hazard assessment results</w:t>
      </w:r>
    </w:p>
    <w:p>
      <w:pPr>
        <w:pStyle w:val="P4"/>
      </w:pPr>
      <w:r>
        <w:t>Organizational structure including safety and emergency contacts</w:t>
      </w:r>
    </w:p>
    <w:p>
      <w:pPr>
        <w:pStyle w:val="P4"/>
      </w:pPr>
      <w:r>
        <w:t>An emergency response procedure</w:t>
      </w:r>
    </w:p>
    <w:p>
      <w:pPr>
        <w:pStyle w:val="P4"/>
      </w:pPr>
      <w:r>
        <w:t>A hazard communication program for informing workers, visitors and individuals outside of the work area as required</w:t>
      </w:r>
    </w:p>
    <w:p>
      <w:pPr>
        <w:pStyle w:val="P4"/>
      </w:pPr>
      <w:r>
        <w:t>Accident/incident investigation procedures</w:t>
      </w:r>
    </w:p>
    <w:p>
      <w:pPr>
        <w:pStyle w:val="P4"/>
      </w:pPr>
      <w:r>
        <w:t>Job Specific Elements (Based on Scope of Work)</w:t>
      </w:r>
    </w:p>
    <w:p>
      <w:pPr>
        <w:pStyle w:val="P5"/>
      </w:pPr>
      <w:r>
        <w:t>Site specific PPE requirements</w:t>
      </w:r>
    </w:p>
    <w:p>
      <w:pPr>
        <w:pStyle w:val="P5"/>
      </w:pPr>
      <w:r>
        <w:t>Housekeeping</w:t>
      </w:r>
    </w:p>
    <w:p>
      <w:pPr>
        <w:pStyle w:val="P5"/>
      </w:pPr>
      <w:r>
        <w:t>Hand and Power Tools</w:t>
      </w:r>
    </w:p>
    <w:p>
      <w:pPr>
        <w:pStyle w:val="P5"/>
      </w:pPr>
      <w:r>
        <w:t>Mechanized Equipment</w:t>
      </w:r>
    </w:p>
    <w:p>
      <w:pPr>
        <w:pStyle w:val="P5"/>
      </w:pPr>
      <w:r>
        <w:t>Trenching and Shoring</w:t>
      </w:r>
    </w:p>
    <w:p>
      <w:pPr>
        <w:pStyle w:val="P5"/>
      </w:pPr>
      <w:r>
        <w:t>Traffic Control Inspection and Monitoring Plan</w:t>
      </w:r>
    </w:p>
    <w:p>
      <w:pPr>
        <w:pStyle w:val="P5"/>
      </w:pPr>
      <w:r>
        <w:t>Fall Protection</w:t>
      </w:r>
    </w:p>
    <w:p>
      <w:pPr>
        <w:pStyle w:val="P5"/>
      </w:pPr>
      <w:r>
        <w:t>Lock-out/ Tag-out</w:t>
      </w:r>
    </w:p>
    <w:p>
      <w:pPr>
        <w:pStyle w:val="P5"/>
      </w:pPr>
      <w:r>
        <w:t>Hot Work</w:t>
      </w:r>
    </w:p>
    <w:p>
      <w:pPr>
        <w:pStyle w:val="P5"/>
      </w:pPr>
      <w:r>
        <w:t>Control Program for Designated Substances in accordance with O. Reg. 490/09</w:t>
      </w:r>
    </w:p>
    <w:p>
      <w:pPr>
        <w:pStyle w:val="P5"/>
      </w:pPr>
      <w:r>
        <w:t>Environmental Hazard Mitigation</w:t>
      </w:r>
    </w:p>
    <w:p>
      <w:pPr>
        <w:pStyle w:val="P2"/>
        <w:rPr>
          <w:lang w:val="en-GB"/>
        </w:rPr>
      </w:pPr>
      <w:r>
        <w:rPr>
          <w:lang w:val="en-GB"/>
        </w:rPr>
        <w:t>Notifications</w:t>
      </w:r>
    </w:p>
    <w:p>
      <w:pPr>
        <w:pStyle w:val="P3"/>
      </w:pPr>
      <w:r>
        <w:t xml:space="preserve">Provide the proper notification to all regulatory bodies required for construction activities (including but not limited to the Notice of Project, employer notification, etc.).  Notifications shall include, but not be limited to, the notification requirements laid out in sections 51 to 53 of the OHSA and sections 5 to 7 of O. Reg. 213/9, for Construction Projects.  </w:t>
      </w:r>
    </w:p>
    <w:p>
      <w:pPr>
        <w:pStyle w:val="P3"/>
      </w:pPr>
      <w:r>
        <w:t xml:space="preserve">For the purpose of this Contract, the Contractor shall be designated the “Constructor” as defined under the OHSA for the purpose of the OHSA and the regulations made thereunder. </w:t>
      </w:r>
    </w:p>
    <w:p>
      <w:pPr>
        <w:pStyle w:val="P3"/>
      </w:pPr>
      <w:r>
        <w:t>The Contractor shall post the MOL Form 016-1000E at a conspicuous location on the project Site.</w:t>
      </w:r>
    </w:p>
    <w:p>
      <w:pPr>
        <w:pStyle w:val="P2"/>
        <w:rPr>
          <w:lang w:val="en-GB"/>
        </w:rPr>
      </w:pPr>
      <w:r>
        <w:rPr>
          <w:lang w:val="en-GB"/>
        </w:rPr>
        <w:t>Workplace Hazardous Material Information System (WHMIS)</w:t>
      </w:r>
    </w:p>
    <w:p>
      <w:pPr>
        <w:pStyle w:val="P3"/>
      </w:pPr>
      <w:r>
        <w:t>Maintain on Site, at a location accessible to the Consultant and the Region, Safety Data Sheets (SDS) and the hazardous material inventory for each substance listed.</w:t>
      </w:r>
    </w:p>
    <w:p>
      <w:pPr>
        <w:pStyle w:val="P3"/>
      </w:pPr>
      <w:r>
        <w:t>Comply with the requirements regarding the use, handling, storage, and disposal of hazardous materials and regarding labelling all of which shall be acceptable to Labour Canada.</w:t>
      </w:r>
    </w:p>
    <w:p>
      <w:pPr>
        <w:pStyle w:val="P3"/>
        <w:tabs>
          <w:tab w:val="left" w:pos="-1980" w:leader="none"/>
          <w:tab w:val="clear" w:pos="1440" w:leader="none"/>
        </w:tabs>
      </w:pPr>
      <w:r>
        <w:t>The Contractor shall inform the Region of the location of these materials and shall ensure that these materials are not kept stored or used on Site without the Region's prior approval. No hazardous products are to be brought on-site without prior approved SDS documentation.</w:t>
      </w:r>
    </w:p>
    <w:p>
      <w:pPr>
        <w:pStyle w:val="P3"/>
        <w:tabs>
          <w:tab w:val="left" w:pos="-1980" w:leader="none"/>
          <w:tab w:val="clear" w:pos="1440" w:leader="none"/>
        </w:tabs>
      </w:pPr>
      <w:r>
        <w:t>All SDS documentation is to remain on site at all times.</w:t>
      </w:r>
    </w:p>
    <w:p>
      <w:pPr>
        <w:pStyle w:val="P3"/>
        <w:tabs>
          <w:tab w:val="left" w:pos="-1980" w:leader="none"/>
          <w:tab w:val="clear" w:pos="1440" w:leader="none"/>
        </w:tabs>
      </w:pPr>
      <w:r>
        <w:rPr>
          <w:lang w:val="en-US"/>
        </w:rPr>
        <w:t>Train workers required to use or work in close proximity to hazardous products in accordance with the OHSA and its Regulations.</w:t>
      </w:r>
    </w:p>
    <w:p>
      <w:pPr>
        <w:pStyle w:val="P3"/>
        <w:tabs>
          <w:tab w:val="left" w:pos="-1980" w:leader="none"/>
          <w:tab w:val="clear" w:pos="1440" w:leader="none"/>
        </w:tabs>
      </w:pPr>
      <w:r>
        <w:rPr>
          <w:lang w:val="en-US"/>
        </w:rPr>
        <w:t xml:space="preserve">Ensure visitors to the Site, Regional staff and the Consultant staff are aware of hazardous products and provide training and PPE where required </w:t>
      </w:r>
    </w:p>
    <w:p>
      <w:pPr>
        <w:pStyle w:val="P3"/>
        <w:tabs>
          <w:tab w:val="left" w:pos="-1980" w:leader="none"/>
          <w:tab w:val="clear" w:pos="1440" w:leader="none"/>
        </w:tabs>
      </w:pPr>
      <w:r>
        <w:t xml:space="preserve">Provide appropriate emergency facilities as specified in the SDS where workers might be exposed to contact with chemicals, e.g. eye-wash facilities, emergency shower. </w:t>
      </w:r>
    </w:p>
    <w:p>
      <w:pPr>
        <w:pStyle w:val="P4"/>
      </w:pPr>
      <w:r>
        <w:t>Train workers in the use of such emergency equipment.</w:t>
      </w:r>
    </w:p>
    <w:p>
      <w:pPr>
        <w:pStyle w:val="P3"/>
        <w:tabs>
          <w:tab w:val="left" w:pos="-1980" w:leader="none"/>
          <w:tab w:val="clear" w:pos="1440" w:leader="none"/>
        </w:tabs>
      </w:pPr>
      <w:r>
        <w:t>Provide appropriate personal protective equipment as specified in the SDS where workers are required to use hazardous products.</w:t>
      </w:r>
    </w:p>
    <w:p>
      <w:pPr>
        <w:pStyle w:val="P4"/>
      </w:pPr>
      <w:r>
        <w:t xml:space="preserve">Properly fit workers for personal protective equipment. </w:t>
      </w:r>
    </w:p>
    <w:p>
      <w:pPr>
        <w:pStyle w:val="P4"/>
      </w:pPr>
      <w:r>
        <w:t>Train workers in care, use and maintenance of personal protective equipment.</w:t>
      </w:r>
    </w:p>
    <w:p>
      <w:pPr>
        <w:pStyle w:val="P3"/>
      </w:pPr>
      <w:r>
        <w:t>Follow employer duties as outlined in O Reg 860.</w:t>
      </w:r>
    </w:p>
    <w:p>
      <w:pPr>
        <w:pStyle w:val="P2"/>
      </w:pPr>
      <w:r>
        <w:t>Health and Safety Violations and Correction of Non-Compliance</w:t>
      </w:r>
    </w:p>
    <w:p>
      <w:pPr>
        <w:pStyle w:val="P3"/>
      </w:pPr>
      <w:r>
        <w:t xml:space="preserve">The Consultant and the Region shall have the right to document all health and safety concerns regarding the Contractor’s operations and to issue warnings and/or to stop work for any Contractor violations of the OHSA and/or its regulations, or any health and safety requirements of the Contract. </w:t>
      </w:r>
    </w:p>
    <w:p>
      <w:pPr>
        <w:pStyle w:val="P3"/>
      </w:pPr>
      <w:r>
        <w:t>The Region reserves the right to have a hazard corrected at the Contractor’s expense.</w:t>
      </w:r>
    </w:p>
    <w:p>
      <w:pPr>
        <w:pStyle w:val="P3"/>
        <w:numPr>
          <w:ilvl w:val="2"/>
          <w:numId w:val="23"/>
        </w:numPr>
        <w:tabs>
          <w:tab w:val="left" w:pos="-1980" w:leader="none"/>
          <w:tab w:val="clear" w:pos="1440" w:leader="none"/>
        </w:tabs>
      </w:pPr>
      <w:r>
        <w:t>Provide the Consultant with a written report of action taken to correct non-compliance of health and safety issues identified.</w:t>
      </w:r>
    </w:p>
    <w:p>
      <w:pPr>
        <w:pStyle w:val="P2"/>
      </w:pPr>
      <w:r>
        <w:t>Designated Substances at the Site</w:t>
      </w:r>
    </w:p>
    <w:p>
      <w:pPr>
        <w:pStyle w:val="P3"/>
      </w:pPr>
      <w:r>
        <w:t>The Contractor shall prepare a Designated Substances Control Program in accordance with O. Reg. 490/09.</w:t>
      </w:r>
    </w:p>
    <w:p>
      <w:pPr>
        <w:pStyle w:val="P3"/>
      </w:pPr>
      <w:r>
        <w:t xml:space="preserve">The Contractor shall comply with the governing Ministry of Labour Regulations respecting protection of workers, removal, handling and disposition of any Designated Substances encountered in carrying out the Work proposed on this Contract. </w:t>
      </w:r>
    </w:p>
    <w:p>
      <w:pPr>
        <w:pStyle w:val="P3"/>
        <w:tabs>
          <w:tab w:val="left" w:pos="-1980" w:leader="none"/>
          <w:tab w:val="clear" w:pos="1440" w:leader="none"/>
        </w:tabs>
      </w:pPr>
      <w:r>
        <w:t xml:space="preserve">Should a Designated Substance not identified in the Contract Documents or any soils reports provided be encountered during the course of the Work, the management of such substance may be treated as Extra Work. </w:t>
      </w:r>
    </w:p>
    <w:p>
      <w:pPr>
        <w:pStyle w:val="P3"/>
        <w:tabs>
          <w:tab w:val="left" w:pos="-1980" w:leader="none"/>
          <w:tab w:val="clear" w:pos="1440" w:leader="none"/>
        </w:tabs>
      </w:pPr>
      <w:r>
        <w:t xml:space="preserve">Should material resembling hazardous materials (e.g. asbestos/mould) not previously identified/documented be encountered during the execution of work, immediately notify the Consultant. Do not proceed until written instructions have been received from Consultant. </w:t>
      </w:r>
    </w:p>
    <w:p>
      <w:pPr>
        <w:pStyle w:val="P3"/>
      </w:pPr>
      <w:r>
        <w:t>Provide a copy of the notification to the Consultant a minimum of fourteen (14) Days in advance of the commencement of such Work.</w:t>
      </w:r>
    </w:p>
    <w:p>
      <w:pPr>
        <w:pStyle w:val="P3"/>
      </w:pPr>
      <w:r>
        <w:t xml:space="preserve">Disposal of any designated substances or hazardous materials must be in accordance with O. Reg. 490/09. </w:t>
      </w:r>
    </w:p>
    <w:p>
      <w:pPr>
        <w:pStyle w:val="P3"/>
        <w:tabs>
          <w:tab w:val="left" w:pos="-1980" w:leader="none"/>
          <w:tab w:val="clear" w:pos="1440" w:leader="none"/>
        </w:tabs>
      </w:pPr>
      <w:r>
        <w:t>Unless otherwise noted, the Contractor shall retain the services of a recognized Environmental Consultant to provide all air monitoring and testing services required by regulatory requirements for hazardous materials abatement and repair.</w:t>
      </w:r>
    </w:p>
    <w:p>
      <w:pPr>
        <w:pStyle w:val="P2"/>
      </w:pPr>
      <w:r>
        <w:t>Safety Equipment and Hazardous Areas and Materials</w:t>
      </w:r>
    </w:p>
    <w:p>
      <w:pPr>
        <w:pStyle w:val="P3"/>
      </w:pPr>
      <w:r>
        <w:t xml:space="preserve">Site specific safety equipment shall be made available to the Consultant and Region. When it is necessary for the Consultant and/or Region to enter confined spaces or other potentially hazardous areas under the Contractors care and control, a representative of the Contractor shall provide site specific safety equipment and procedures for safe entry. </w:t>
      </w:r>
    </w:p>
    <w:p>
      <w:pPr>
        <w:pStyle w:val="P3"/>
      </w:pPr>
      <w:r>
        <w:t xml:space="preserve">Post warning signs at hazardous areas or where hazardous materials are stored and instruct personnel on proper safety procedures. </w:t>
      </w:r>
    </w:p>
    <w:p>
      <w:pPr>
        <w:pStyle w:val="P3"/>
        <w:numPr>
          <w:ilvl w:val="2"/>
          <w:numId w:val="0"/>
        </w:numPr>
        <w:ind w:firstLine="0" w:left="720"/>
      </w:pPr>
      <w:r>
        <w:rPr>
          <w:highlight w:val="yellow"/>
        </w:rPr>
        <w:t>[The Consultant shall include any required spill kits for the facility in the Contractor’s scope of supply. The requirements for each spill kit including type, size and contents to be included in the equipment specifications. Spill kits to be complete with a tamper proof seal, and appropriately labeled including a listing of the contents affixed to the container.]</w:t>
      </w:r>
      <w:r>
        <w:t xml:space="preserve"> </w:t>
      </w:r>
    </w:p>
    <w:p>
      <w:pPr>
        <w:pStyle w:val="P2"/>
      </w:pPr>
      <w:r>
        <w:t>Health and Safety Monitoring</w:t>
      </w:r>
    </w:p>
    <w:p>
      <w:pPr>
        <w:pStyle w:val="P3"/>
        <w:tabs>
          <w:tab w:val="left" w:pos="-1980" w:leader="none"/>
          <w:tab w:val="clear" w:pos="1440" w:leader="none"/>
        </w:tabs>
      </w:pPr>
      <w:r>
        <w:t>Periodic site safety audits of the Contractor’s work may be carried out by the Region or the Consultant to maintain compliance with the Site Specific Health and Safety Plan. The site safety audit will include visual inspections as well as testing and sampling as required.</w:t>
      </w:r>
    </w:p>
    <w:p>
      <w:pPr>
        <w:pStyle w:val="P3"/>
        <w:tabs>
          <w:tab w:val="left" w:pos="-1980" w:leader="none"/>
          <w:tab w:val="clear" w:pos="1440" w:leader="none"/>
        </w:tabs>
      </w:pPr>
      <w:r>
        <w:t>The Contractor’s site supervisor or site health and safety representative will be required to accompany the Region or Consultant during the site safety audit.</w:t>
      </w:r>
    </w:p>
    <w:p>
      <w:pPr>
        <w:pStyle w:val="P3"/>
        <w:tabs>
          <w:tab w:val="left" w:pos="-1980" w:leader="none"/>
          <w:tab w:val="clear" w:pos="1440" w:leader="none"/>
        </w:tabs>
      </w:pPr>
      <w:r>
        <w:t>The Contractor shall be responsible for any and all costs associated with delays as a result of the Contractor’s failure to comply with the requirements outlined in this section.</w:t>
      </w:r>
    </w:p>
    <w:p>
      <w:pPr>
        <w:pStyle w:val="P2"/>
      </w:pPr>
      <w:r>
        <w:t>Pre-Work Hazard Assessment Form</w:t>
      </w:r>
    </w:p>
    <w:p>
      <w:pPr>
        <w:pStyle w:val="P3"/>
      </w:pPr>
      <w:r>
        <w:t>The Pre-Work Hazard Assessment Form identifies all known hazards existing on the Site at the time of the assessment, including but not limited to the following:</w:t>
      </w:r>
    </w:p>
    <w:p>
      <w:pPr>
        <w:pStyle w:val="P4"/>
      </w:pPr>
      <w:r>
        <w:t>Electrical/Equipment Hazards</w:t>
      </w:r>
    </w:p>
    <w:p>
      <w:pPr>
        <w:pStyle w:val="P4"/>
      </w:pPr>
      <w:r>
        <w:t>Physical Hazards</w:t>
      </w:r>
    </w:p>
    <w:p>
      <w:pPr>
        <w:pStyle w:val="P4"/>
      </w:pPr>
      <w:r>
        <w:t>Chemical Hazards</w:t>
      </w:r>
    </w:p>
    <w:p>
      <w:pPr>
        <w:pStyle w:val="P4"/>
      </w:pPr>
      <w:r>
        <w:t>Biological Hazards</w:t>
      </w:r>
    </w:p>
    <w:p>
      <w:pPr>
        <w:pStyle w:val="P4"/>
      </w:pPr>
      <w:r>
        <w:t>Hazardous Conditions</w:t>
      </w:r>
    </w:p>
    <w:p>
      <w:pPr>
        <w:pStyle w:val="P4"/>
      </w:pPr>
      <w:r>
        <w:t>Public Safety Hazards</w:t>
      </w:r>
    </w:p>
    <w:p>
      <w:pPr>
        <w:pStyle w:val="P4"/>
      </w:pPr>
      <w:r>
        <w:t>Designated Substances/Other materials</w:t>
      </w:r>
    </w:p>
    <w:p>
      <w:pPr>
        <w:pStyle w:val="P3"/>
      </w:pPr>
      <w:r>
        <w:t xml:space="preserve">The completed Pre-Work Hazard Assessment Form, included in the </w:t>
      </w:r>
      <w:r>
        <w:rPr>
          <w:highlight w:val="yellow"/>
        </w:rPr>
        <w:t>Instructions to Bidders</w:t>
      </w:r>
      <w:r>
        <w:t xml:space="preserve">, is a field observation of the physical conditions existing at the proposed work location at the time of the hazard assessment.  </w:t>
      </w:r>
    </w:p>
    <w:p>
      <w:pPr>
        <w:pStyle w:val="P3"/>
      </w:pPr>
      <w:r>
        <w:t>The Contractor shall acknowledge the hazards identified at the time of the hazard assessment and agree, by signing the Pre-Work Hazard Assessment Form, to take every precaution reasonable in the circumstances to protect Workers from those hazards at all times. This form is not intended to be a comprehensive account or analysis of all possible and potential hazards present at the work site.</w:t>
      </w:r>
    </w:p>
    <w:p>
      <w:pPr>
        <w:pStyle w:val="P1"/>
      </w:pPr>
      <w:r>
        <w:t>PRODUCTS (NOT USED)</w:t>
      </w:r>
    </w:p>
    <w:p>
      <w:pPr>
        <w:pStyle w:val="P1"/>
      </w:pPr>
      <w:r>
        <w:t>EXECUTION (NOT USED)</w:t>
      </w:r>
    </w:p>
    <w:p>
      <w:pPr>
        <w:pStyle w:val="P44"/>
        <w:spacing w:before="240" w:beforeAutospacing="0" w:afterAutospacing="0"/>
        <w:jc w:val="center"/>
        <w:rPr>
          <w:rFonts w:ascii="Calibri" w:hAnsi="Calibri"/>
          <w:b w:val="1"/>
          <w:sz w:val="22"/>
        </w:rPr>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 xml:space="preserve">CONTRACT NO. </w:t>
    </w:r>
    <w:r>
      <w:rPr>
        <w:rFonts w:ascii="Arial" w:hAnsi="Arial"/>
        <w:highlight w:val="lightGray"/>
      </w:rPr>
      <w:t>[Insert Region Number]</w:t>
    </w:r>
    <w:r>
      <w:rPr>
        <w:rFonts w:ascii="Arial" w:hAnsi="Arial"/>
      </w:rPr>
      <w:tab/>
      <w:t>Section 01351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HEALTH AND SAFETY</w:t>
    </w:r>
    <w:r>
      <w:rPr>
        <w:rFonts w:ascii="Arial" w:hAnsi="Arial"/>
      </w:rPr>
      <w:tab/>
      <w:t>2012-07-05</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Body)" w:hAnsi="Calibri (Body)"/>
        <w:sz w:val="22"/>
      </w:rPr>
      <w:t>CONTRACT NO. SSTR4559</w:t>
      <w:tab/>
      <w:t>Section 01351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HEALTH AND SAFETY</w:t>
    </w:r>
    <w:r>
      <w:rPr>
        <w:rFonts w:ascii="Calibri (Body)" w:hAnsi="Calibri (Body)"/>
        <w:sz w:val="22"/>
      </w:rPr>
      <w:tab/>
      <w:t>2022-06-22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tabs>
        <w:tab w:val="right" w:pos="10080" w:leader="none"/>
      </w:tabs>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Body)" w:hAnsi="Calibri (Body)"/>
        <w:sz w:val="22"/>
      </w:rPr>
      <w:t>Section 01351</w:t>
      <w:tab/>
      <w:t>CONTRACT NO. SSTR4559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sz w:val="22"/>
      </w:rPr>
      <w:t>2022-06-22</w:t>
    </w:r>
    <w:r>
      <w:rPr>
        <w:rFonts w:ascii="Calibri (Body)" w:hAnsi="Calibri (Body)"/>
        <w:b w:val="1"/>
        <w:sz w:val="22"/>
      </w:rPr>
      <w:tab/>
      <w:t>HEALTH AND SAFETY</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50C86301">
      <w:start w:val="1"/>
      <w:numFmt w:val="decimal"/>
      <w:suff w:val="tab"/>
      <w:lvlText w:val="%1."/>
      <w:lvlJc w:val="left"/>
      <w:pPr/>
      <w:rPr/>
    </w:lvl>
    <w:lvl w:ilvl="2" w:tplc="72BCD358">
      <w:start w:val="1"/>
      <w:numFmt w:val="decimal"/>
      <w:suff w:val="tab"/>
      <w:lvlText w:val="%1."/>
      <w:lvlJc w:val="left"/>
      <w:pPr/>
      <w:rPr/>
    </w:lvl>
    <w:lvl w:ilvl="3" w:tplc="39045F23">
      <w:start w:val="1"/>
      <w:numFmt w:val="decimal"/>
      <w:suff w:val="tab"/>
      <w:lvlText w:val="%1."/>
      <w:lvlJc w:val="left"/>
      <w:pPr/>
      <w:rPr/>
    </w:lvl>
    <w:lvl w:ilvl="4" w:tplc="047DA039">
      <w:start w:val="1"/>
      <w:numFmt w:val="decimal"/>
      <w:suff w:val="tab"/>
      <w:lvlText w:val="%1."/>
      <w:lvlJc w:val="left"/>
      <w:pPr/>
      <w:rPr/>
    </w:lvl>
    <w:lvl w:ilvl="5" w:tplc="272369C6">
      <w:start w:val="1"/>
      <w:numFmt w:val="decimal"/>
      <w:suff w:val="tab"/>
      <w:lvlText w:val="%1."/>
      <w:lvlJc w:val="left"/>
      <w:pPr/>
      <w:rPr/>
    </w:lvl>
    <w:lvl w:ilvl="6" w:tplc="3A2724CC">
      <w:start w:val="1"/>
      <w:numFmt w:val="decimal"/>
      <w:suff w:val="tab"/>
      <w:lvlText w:val="%1."/>
      <w:lvlJc w:val="left"/>
      <w:pPr/>
      <w:rPr/>
    </w:lvl>
    <w:lvl w:ilvl="7" w:tplc="3109927F">
      <w:start w:val="1"/>
      <w:numFmt w:val="decimal"/>
      <w:suff w:val="tab"/>
      <w:lvlText w:val="%1."/>
      <w:lvlJc w:val="left"/>
      <w:pPr/>
      <w:rPr/>
    </w:lvl>
    <w:lvl w:ilvl="8" w:tplc="04A74E07">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3F8398A"/>
    <w:multiLevelType w:val="multilevel"/>
    <w:lvl w:ilvl="0">
      <w:start w:val="1"/>
      <w:numFmt w:val="bullet"/>
      <w:suff w:val="tab"/>
      <w:lvlText w:val=""/>
      <w:lvlJc w:val="left"/>
      <w:pPr>
        <w:ind w:hanging="360" w:left="360"/>
        <w:tabs>
          <w:tab w:val="left" w:pos="36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rPr>
    </w:lvl>
    <w:lvl w:ilvl="2">
      <w:start w:val="1"/>
      <w:numFmt w:val="bullet"/>
      <w:suff w:val="tab"/>
      <w:lvlText w:val=""/>
      <w:lvlJc w:val="left"/>
      <w:pPr>
        <w:ind w:hanging="360" w:left="2160"/>
        <w:tabs>
          <w:tab w:val="left" w:pos="2160" w:leader="none"/>
        </w:tabs>
      </w:pPr>
      <w:rPr>
        <w:rFonts w:ascii="Wingdings" w:hAnsi="Wingdings"/>
      </w:rPr>
    </w:lvl>
    <w:lvl w:ilvl="3">
      <w:start w:val="1"/>
      <w:numFmt w:val="bullet"/>
      <w:suff w:val="tab"/>
      <w:lvlText w:val=""/>
      <w:lvlJc w:val="left"/>
      <w:pPr>
        <w:ind w:hanging="360" w:left="2880"/>
        <w:tabs>
          <w:tab w:val="left" w:pos="2880" w:leader="none"/>
        </w:tabs>
      </w:pPr>
      <w:rPr>
        <w:rFonts w:ascii="Symbol" w:hAnsi="Symbol"/>
      </w:rPr>
    </w:lvl>
    <w:lvl w:ilvl="4">
      <w:start w:val="1"/>
      <w:numFmt w:val="bullet"/>
      <w:suff w:val="tab"/>
      <w:lvlText w:val="o"/>
      <w:lvlJc w:val="left"/>
      <w:pPr>
        <w:ind w:hanging="360" w:left="3600"/>
        <w:tabs>
          <w:tab w:val="left" w:pos="3600" w:leader="none"/>
        </w:tabs>
      </w:pPr>
      <w:rPr>
        <w:rFonts w:ascii="Courier New" w:hAnsi="Courier New"/>
      </w:rPr>
    </w:lvl>
    <w:lvl w:ilvl="5">
      <w:start w:val="1"/>
      <w:numFmt w:val="bullet"/>
      <w:suff w:val="tab"/>
      <w:lvlText w:val=""/>
      <w:lvlJc w:val="left"/>
      <w:pPr>
        <w:ind w:hanging="360" w:left="4320"/>
        <w:tabs>
          <w:tab w:val="left" w:pos="4320" w:leader="none"/>
        </w:tabs>
      </w:pPr>
      <w:rPr>
        <w:rFonts w:ascii="Wingdings" w:hAnsi="Wingdings"/>
      </w:rPr>
    </w:lvl>
    <w:lvl w:ilvl="6">
      <w:start w:val="1"/>
      <w:numFmt w:val="bullet"/>
      <w:suff w:val="tab"/>
      <w:lvlText w:val=""/>
      <w:lvlJc w:val="left"/>
      <w:pPr>
        <w:ind w:hanging="360" w:left="5040"/>
        <w:tabs>
          <w:tab w:val="left" w:pos="5040" w:leader="none"/>
        </w:tabs>
      </w:pPr>
      <w:rPr>
        <w:rFonts w:ascii="Symbol" w:hAnsi="Symbol"/>
      </w:rPr>
    </w:lvl>
    <w:lvl w:ilvl="7">
      <w:start w:val="1"/>
      <w:numFmt w:val="bullet"/>
      <w:suff w:val="tab"/>
      <w:lvlText w:val="o"/>
      <w:lvlJc w:val="left"/>
      <w:pPr>
        <w:ind w:hanging="360" w:left="5760"/>
        <w:tabs>
          <w:tab w:val="left" w:pos="5760" w:leader="none"/>
        </w:tabs>
      </w:pPr>
      <w:rPr>
        <w:rFonts w:ascii="Courier New" w:hAnsi="Courier New"/>
      </w:rPr>
    </w:lvl>
    <w:lvl w:ilvl="8">
      <w:start w:val="1"/>
      <w:numFmt w:val="bullet"/>
      <w:suff w:val="tab"/>
      <w:lvlText w:val=""/>
      <w:lvlJc w:val="left"/>
      <w:pPr>
        <w:ind w:hanging="360" w:left="6480"/>
        <w:tabs>
          <w:tab w:val="left" w:pos="6480" w:leader="none"/>
        </w:tabs>
      </w:pPr>
      <w:rPr>
        <w:rFonts w:ascii="Wingdings" w:hAnsi="Wingdings"/>
      </w:rPr>
    </w:lvl>
  </w:abstractNum>
  <w:abstractNum w:abstractNumId="3">
    <w:nsid w:val="14617691"/>
    <w:multiLevelType w:val="hybridMultilevel"/>
    <w:lvl w:ilvl="0" w:tplc="D40A18FA">
      <w:start w:val="1"/>
      <w:numFmt w:val="lowerLetter"/>
      <w:suff w:val="tab"/>
      <w:lvlText w:val="(%1)"/>
      <w:lvlJc w:val="left"/>
      <w:pPr>
        <w:ind w:hanging="360" w:left="644"/>
        <w:tabs>
          <w:tab w:val="left" w:pos="644" w:leader="none"/>
        </w:tabs>
      </w:pPr>
      <w:rPr>
        <w:color w:val="auto"/>
      </w:rPr>
    </w:lvl>
    <w:lvl w:ilvl="1" w:tplc="04090019">
      <w:start w:val="1"/>
      <w:numFmt w:val="lowerLetter"/>
      <w:suff w:val="tab"/>
      <w:lvlText w:val="%2."/>
      <w:lvlJc w:val="left"/>
      <w:pPr>
        <w:ind w:hanging="360" w:left="1440"/>
        <w:tabs>
          <w:tab w:val="left" w:pos="1440" w:leader="none"/>
        </w:tabs>
      </w:pPr>
      <w:rPr/>
    </w:lvl>
    <w:lvl w:ilvl="2" w:tplc="0409001B">
      <w:start w:val="1"/>
      <w:numFmt w:val="lowerRoman"/>
      <w:suff w:val="tab"/>
      <w:lvlText w:val="%3."/>
      <w:lvlJc w:val="right"/>
      <w:pPr>
        <w:ind w:hanging="180" w:left="2160"/>
        <w:tabs>
          <w:tab w:val="left" w:pos="2160" w:leader="none"/>
        </w:tabs>
      </w:pPr>
      <w:rPr/>
    </w:lvl>
    <w:lvl w:ilvl="3" w:tplc="0409000F">
      <w:start w:val="1"/>
      <w:numFmt w:val="decimal"/>
      <w:suff w:val="tab"/>
      <w:lvlText w:val="%4."/>
      <w:lvlJc w:val="left"/>
      <w:pPr>
        <w:ind w:hanging="360" w:left="2880"/>
        <w:tabs>
          <w:tab w:val="left" w:pos="2880" w:leader="none"/>
        </w:tabs>
      </w:pPr>
      <w:rPr/>
    </w:lvl>
    <w:lvl w:ilvl="4" w:tplc="04090019">
      <w:start w:val="1"/>
      <w:numFmt w:val="lowerLetter"/>
      <w:suff w:val="tab"/>
      <w:lvlText w:val="%5."/>
      <w:lvlJc w:val="left"/>
      <w:pPr>
        <w:ind w:hanging="360" w:left="3600"/>
        <w:tabs>
          <w:tab w:val="left" w:pos="3600" w:leader="none"/>
        </w:tabs>
      </w:pPr>
      <w:rPr/>
    </w:lvl>
    <w:lvl w:ilvl="5" w:tplc="0409001B">
      <w:start w:val="1"/>
      <w:numFmt w:val="lowerRoman"/>
      <w:suff w:val="tab"/>
      <w:lvlText w:val="%6."/>
      <w:lvlJc w:val="right"/>
      <w:pPr>
        <w:ind w:hanging="180" w:left="4320"/>
        <w:tabs>
          <w:tab w:val="left" w:pos="4320" w:leader="none"/>
        </w:tabs>
      </w:pPr>
      <w:rPr/>
    </w:lvl>
    <w:lvl w:ilvl="6" w:tplc="0409000F">
      <w:start w:val="1"/>
      <w:numFmt w:val="decimal"/>
      <w:suff w:val="tab"/>
      <w:lvlText w:val="%7."/>
      <w:lvlJc w:val="left"/>
      <w:pPr>
        <w:ind w:hanging="360" w:left="5040"/>
        <w:tabs>
          <w:tab w:val="left" w:pos="5040" w:leader="none"/>
        </w:tabs>
      </w:pPr>
      <w:rPr/>
    </w:lvl>
    <w:lvl w:ilvl="7" w:tplc="04090019">
      <w:start w:val="1"/>
      <w:numFmt w:val="lowerLetter"/>
      <w:suff w:val="tab"/>
      <w:lvlText w:val="%8."/>
      <w:lvlJc w:val="left"/>
      <w:pPr>
        <w:ind w:hanging="360" w:left="5760"/>
        <w:tabs>
          <w:tab w:val="left" w:pos="5760" w:leader="none"/>
        </w:tabs>
      </w:pPr>
      <w:rPr/>
    </w:lvl>
    <w:lvl w:ilvl="8" w:tplc="0409001B">
      <w:start w:val="1"/>
      <w:numFmt w:val="lowerRoman"/>
      <w:suff w:val="tab"/>
      <w:lvlText w:val="%9."/>
      <w:lvlJc w:val="right"/>
      <w:pPr>
        <w:ind w:hanging="180" w:left="6480"/>
        <w:tabs>
          <w:tab w:val="left" w:pos="6480" w:leader="none"/>
        </w:tabs>
      </w:pPr>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401F35"/>
    <w:multiLevelType w:val="hybridMultilevel"/>
    <w:lvl w:ilvl="0">
      <w:start w:val="1"/>
      <w:numFmt w:val="bullet"/>
      <w:pStyle w:val="P47"/>
      <w:suff w:val="tab"/>
      <w:lvlText w:val=""/>
      <w:lvlJc w:val="left"/>
      <w:pPr>
        <w:ind w:hanging="360" w:left="360"/>
        <w:tabs>
          <w:tab w:val="left" w:pos="360" w:leader="none"/>
        </w:tabs>
      </w:pPr>
      <w:rPr>
        <w:rFonts w:ascii="Symbol" w:hAnsi="Symbol"/>
      </w:rPr>
    </w:lvl>
    <w:lvl w:ilvl="1" w:tplc="3927B11A">
      <w:start w:val="1"/>
      <w:numFmt w:val="decimal"/>
      <w:suff w:val="tab"/>
      <w:lvlText w:val="%1."/>
      <w:lvlJc w:val="left"/>
      <w:pPr/>
      <w:rPr/>
    </w:lvl>
    <w:lvl w:ilvl="2" w:tplc="3A9A7426">
      <w:start w:val="1"/>
      <w:numFmt w:val="decimal"/>
      <w:suff w:val="tab"/>
      <w:lvlText w:val="%1."/>
      <w:lvlJc w:val="left"/>
      <w:pPr/>
      <w:rPr/>
    </w:lvl>
    <w:lvl w:ilvl="3" w:tplc="5FCD5F32">
      <w:start w:val="1"/>
      <w:numFmt w:val="decimal"/>
      <w:suff w:val="tab"/>
      <w:lvlText w:val="%1."/>
      <w:lvlJc w:val="left"/>
      <w:pPr/>
      <w:rPr/>
    </w:lvl>
    <w:lvl w:ilvl="4" w:tplc="6D0BDB4F">
      <w:start w:val="1"/>
      <w:numFmt w:val="decimal"/>
      <w:suff w:val="tab"/>
      <w:lvlText w:val="%1."/>
      <w:lvlJc w:val="left"/>
      <w:pPr/>
      <w:rPr/>
    </w:lvl>
    <w:lvl w:ilvl="5" w:tplc="3DF3EA05">
      <w:start w:val="1"/>
      <w:numFmt w:val="decimal"/>
      <w:suff w:val="tab"/>
      <w:lvlText w:val="%1."/>
      <w:lvlJc w:val="left"/>
      <w:pPr/>
      <w:rPr/>
    </w:lvl>
    <w:lvl w:ilvl="6" w:tplc="55F340EA">
      <w:start w:val="1"/>
      <w:numFmt w:val="decimal"/>
      <w:suff w:val="tab"/>
      <w:lvlText w:val="%1."/>
      <w:lvlJc w:val="left"/>
      <w:pPr/>
      <w:rPr/>
    </w:lvl>
    <w:lvl w:ilvl="7" w:tplc="76D95D3B">
      <w:start w:val="1"/>
      <w:numFmt w:val="decimal"/>
      <w:suff w:val="tab"/>
      <w:lvlText w:val="%1."/>
      <w:lvlJc w:val="left"/>
      <w:pPr/>
      <w:rPr/>
    </w:lvl>
    <w:lvl w:ilvl="8" w:tplc="4F881D1A">
      <w:start w:val="1"/>
      <w:numFmt w:val="decimal"/>
      <w:suff w:val="tab"/>
      <w:lvlText w:val="%1."/>
      <w:lvlJc w:val="left"/>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B477FCF"/>
    <w:multiLevelType w:val="hybridMultilevel"/>
    <w:lvl w:ilvl="0" w:tplc="04090005">
      <w:start w:val="1"/>
      <w:numFmt w:val="bullet"/>
      <w:suff w:val="tab"/>
      <w:lvlText w:val=""/>
      <w:lvlJc w:val="left"/>
      <w:pPr>
        <w:ind w:hanging="360" w:left="360"/>
        <w:tabs>
          <w:tab w:val="left" w:pos="360" w:leader="none"/>
        </w:tabs>
      </w:pPr>
      <w:rPr>
        <w:rFonts w:ascii="Wingdings" w:hAnsi="Wingdings"/>
      </w:rPr>
    </w:lvl>
    <w:lvl w:ilvl="1" w:tplc="04090003">
      <w:start w:val="1"/>
      <w:numFmt w:val="bullet"/>
      <w:suff w:val="tab"/>
      <w:lvlText w:val="o"/>
      <w:lvlJc w:val="left"/>
      <w:pPr>
        <w:ind w:hanging="360" w:left="1080"/>
        <w:tabs>
          <w:tab w:val="left" w:pos="1080" w:leader="none"/>
        </w:tabs>
      </w:pPr>
      <w:rPr>
        <w:rFonts w:ascii="Courier New" w:hAnsi="Courier New"/>
      </w:rPr>
    </w:lvl>
    <w:lvl w:ilvl="2" w:tplc="04090005">
      <w:start w:val="1"/>
      <w:numFmt w:val="bullet"/>
      <w:suff w:val="tab"/>
      <w:lvlText w:val=""/>
      <w:lvlJc w:val="left"/>
      <w:pPr>
        <w:ind w:hanging="360" w:left="1800"/>
        <w:tabs>
          <w:tab w:val="left" w:pos="1800" w:leader="none"/>
        </w:tabs>
      </w:pPr>
      <w:rPr>
        <w:rFonts w:ascii="Wingdings" w:hAnsi="Wingdings"/>
      </w:rPr>
    </w:lvl>
    <w:lvl w:ilvl="3" w:tplc="04090001">
      <w:start w:val="1"/>
      <w:numFmt w:val="bullet"/>
      <w:suff w:val="tab"/>
      <w:lvlText w:val=""/>
      <w:lvlJc w:val="left"/>
      <w:pPr>
        <w:ind w:hanging="360" w:left="2520"/>
        <w:tabs>
          <w:tab w:val="left" w:pos="2520" w:leader="none"/>
        </w:tabs>
      </w:pPr>
      <w:rPr>
        <w:rFonts w:ascii="Symbol" w:hAnsi="Symbol"/>
      </w:rPr>
    </w:lvl>
    <w:lvl w:ilvl="4" w:tplc="04090003">
      <w:start w:val="1"/>
      <w:numFmt w:val="bullet"/>
      <w:suff w:val="tab"/>
      <w:lvlText w:val="o"/>
      <w:lvlJc w:val="left"/>
      <w:pPr>
        <w:ind w:hanging="360" w:left="3240"/>
        <w:tabs>
          <w:tab w:val="left" w:pos="3240" w:leader="none"/>
        </w:tabs>
      </w:pPr>
      <w:rPr>
        <w:rFonts w:ascii="Courier New" w:hAnsi="Courier New"/>
      </w:rPr>
    </w:lvl>
    <w:lvl w:ilvl="5" w:tplc="04090005">
      <w:start w:val="1"/>
      <w:numFmt w:val="bullet"/>
      <w:suff w:val="tab"/>
      <w:lvlText w:val=""/>
      <w:lvlJc w:val="left"/>
      <w:pPr>
        <w:ind w:hanging="360" w:left="3960"/>
        <w:tabs>
          <w:tab w:val="left" w:pos="3960" w:leader="none"/>
        </w:tabs>
      </w:pPr>
      <w:rPr>
        <w:rFonts w:ascii="Wingdings" w:hAnsi="Wingdings"/>
      </w:rPr>
    </w:lvl>
    <w:lvl w:ilvl="6" w:tplc="04090001">
      <w:start w:val="1"/>
      <w:numFmt w:val="bullet"/>
      <w:suff w:val="tab"/>
      <w:lvlText w:val=""/>
      <w:lvlJc w:val="left"/>
      <w:pPr>
        <w:ind w:hanging="360" w:left="4680"/>
        <w:tabs>
          <w:tab w:val="left" w:pos="4680" w:leader="none"/>
        </w:tabs>
      </w:pPr>
      <w:rPr>
        <w:rFonts w:ascii="Symbol" w:hAnsi="Symbol"/>
      </w:rPr>
    </w:lvl>
    <w:lvl w:ilvl="7" w:tplc="04090003">
      <w:start w:val="1"/>
      <w:numFmt w:val="bullet"/>
      <w:suff w:val="tab"/>
      <w:lvlText w:val="o"/>
      <w:lvlJc w:val="left"/>
      <w:pPr>
        <w:ind w:hanging="360" w:left="5400"/>
        <w:tabs>
          <w:tab w:val="left" w:pos="5400" w:leader="none"/>
        </w:tabs>
      </w:pPr>
      <w:rPr>
        <w:rFonts w:ascii="Courier New" w:hAnsi="Courier New"/>
      </w:rPr>
    </w:lvl>
    <w:lvl w:ilvl="8" w:tplc="04090005">
      <w:start w:val="1"/>
      <w:numFmt w:val="bullet"/>
      <w:suff w:val="tab"/>
      <w:lvlText w:val=""/>
      <w:lvlJc w:val="left"/>
      <w:pPr>
        <w:ind w:hanging="360" w:left="6120"/>
        <w:tabs>
          <w:tab w:val="left" w:pos="6120" w:leader="none"/>
        </w:tabs>
      </w:pPr>
      <w:rPr>
        <w:rFonts w:ascii="Wingdings" w:hAnsi="Wingdings"/>
      </w:rPr>
    </w:lvl>
  </w:abstractNum>
  <w:abstractNum w:abstractNumId="9">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0">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3B881758"/>
    <w:multiLevelType w:val="hybridMultilevel"/>
    <w:lvl w:ilvl="0" w:tplc="337C9CCA">
      <w:start w:val="1"/>
      <w:numFmt w:val="decimal"/>
      <w:suff w:val="tab"/>
      <w:lvlText w:val=".%1"/>
      <w:lvlJc w:val="left"/>
      <w:pPr>
        <w:ind w:hanging="720" w:left="2160"/>
        <w:tabs>
          <w:tab w:val="left" w:pos="2160" w:leader="none"/>
        </w:tabs>
      </w:pPr>
      <w:rPr>
        <w:rFonts w:ascii="Univers" w:hAnsi="Univers"/>
        <w:b w:val="0"/>
        <w:i w:val="0"/>
        <w:sz w:val="22"/>
      </w:rPr>
    </w:lvl>
    <w:lvl w:ilvl="1" w:tplc="04090019">
      <w:start w:val="1"/>
      <w:numFmt w:val="lowerLetter"/>
      <w:suff w:val="tab"/>
      <w:lvlText w:val="%2."/>
      <w:lvlJc w:val="left"/>
      <w:pPr>
        <w:ind w:hanging="360" w:left="1080"/>
        <w:tabs>
          <w:tab w:val="left" w:pos="1080" w:leader="none"/>
        </w:tabs>
      </w:pPr>
      <w:rPr/>
    </w:lvl>
    <w:lvl w:ilvl="2" w:tplc="0409001B">
      <w:start w:val="1"/>
      <w:numFmt w:val="lowerRoman"/>
      <w:suff w:val="tab"/>
      <w:lvlText w:val="%3."/>
      <w:lvlJc w:val="right"/>
      <w:pPr>
        <w:ind w:hanging="180" w:left="1800"/>
        <w:tabs>
          <w:tab w:val="left" w:pos="1800" w:leader="none"/>
        </w:tabs>
      </w:pPr>
      <w:rPr/>
    </w:lvl>
    <w:lvl w:ilvl="3" w:tplc="0409000F">
      <w:start w:val="1"/>
      <w:numFmt w:val="decimal"/>
      <w:suff w:val="tab"/>
      <w:lvlText w:val="%4."/>
      <w:lvlJc w:val="left"/>
      <w:pPr>
        <w:ind w:hanging="360" w:left="2520"/>
        <w:tabs>
          <w:tab w:val="left" w:pos="2520" w:leader="none"/>
        </w:tabs>
      </w:pPr>
      <w:rPr/>
    </w:lvl>
    <w:lvl w:ilvl="4" w:tplc="04090019">
      <w:start w:val="1"/>
      <w:numFmt w:val="lowerLetter"/>
      <w:suff w:val="tab"/>
      <w:lvlText w:val="%5."/>
      <w:lvlJc w:val="left"/>
      <w:pPr>
        <w:ind w:hanging="360" w:left="3240"/>
        <w:tabs>
          <w:tab w:val="left" w:pos="3240" w:leader="none"/>
        </w:tabs>
      </w:pPr>
      <w:rPr/>
    </w:lvl>
    <w:lvl w:ilvl="5" w:tplc="0409001B">
      <w:start w:val="1"/>
      <w:numFmt w:val="lowerRoman"/>
      <w:suff w:val="tab"/>
      <w:lvlText w:val="%6."/>
      <w:lvlJc w:val="right"/>
      <w:pPr>
        <w:ind w:hanging="180" w:left="3960"/>
        <w:tabs>
          <w:tab w:val="left" w:pos="3960" w:leader="none"/>
        </w:tabs>
      </w:pPr>
      <w:rPr/>
    </w:lvl>
    <w:lvl w:ilvl="6" w:tplc="0409000F">
      <w:start w:val="1"/>
      <w:numFmt w:val="decimal"/>
      <w:suff w:val="tab"/>
      <w:lvlText w:val="%7."/>
      <w:lvlJc w:val="left"/>
      <w:pPr>
        <w:ind w:hanging="360" w:left="4680"/>
        <w:tabs>
          <w:tab w:val="left" w:pos="4680" w:leader="none"/>
        </w:tabs>
      </w:pPr>
      <w:rPr/>
    </w:lvl>
    <w:lvl w:ilvl="7" w:tplc="04090019">
      <w:start w:val="1"/>
      <w:numFmt w:val="lowerLetter"/>
      <w:suff w:val="tab"/>
      <w:lvlText w:val="%8."/>
      <w:lvlJc w:val="left"/>
      <w:pPr>
        <w:ind w:hanging="360" w:left="5400"/>
        <w:tabs>
          <w:tab w:val="left" w:pos="5400" w:leader="none"/>
        </w:tabs>
      </w:pPr>
      <w:rPr/>
    </w:lvl>
    <w:lvl w:ilvl="8" w:tplc="0409001B">
      <w:start w:val="1"/>
      <w:numFmt w:val="lowerRoman"/>
      <w:suff w:val="tab"/>
      <w:lvlText w:val="%9."/>
      <w:lvlJc w:val="right"/>
      <w:pPr>
        <w:ind w:hanging="180" w:left="6120"/>
        <w:tabs>
          <w:tab w:val="left" w:pos="6120" w:leader="none"/>
        </w:tabs>
      </w:pPr>
      <w:rPr/>
    </w:lvl>
  </w:abstractNum>
  <w:abstractNum w:abstractNumId="13">
    <w:nsid w:val="3D9D6B2F"/>
    <w:multiLevelType w:val="hybridMultilevel"/>
    <w:lvl w:ilvl="0" w:tplc="E226761A">
      <w:start w:val="1"/>
      <w:numFmt w:val="lowerLetter"/>
      <w:suff w:val="tab"/>
      <w:lvlText w:val="(%1)"/>
      <w:lvlJc w:val="left"/>
      <w:pPr>
        <w:ind w:hanging="360" w:left="360"/>
        <w:tabs>
          <w:tab w:val="left" w:pos="360" w:leader="none"/>
        </w:tabs>
      </w:pPr>
      <w:rPr>
        <w:i w:val="0"/>
      </w:rPr>
    </w:lvl>
    <w:lvl w:ilvl="1" w:tplc="10090019">
      <w:start w:val="1"/>
      <w:numFmt w:val="lowerLetter"/>
      <w:suff w:val="tab"/>
      <w:lvlText w:val="%2."/>
      <w:lvlJc w:val="left"/>
      <w:pPr>
        <w:ind w:hanging="360" w:left="1440"/>
        <w:tabs>
          <w:tab w:val="left" w:pos="1440" w:leader="none"/>
        </w:tabs>
      </w:pPr>
      <w:rPr/>
    </w:lvl>
    <w:lvl w:ilvl="2" w:tplc="1009001B">
      <w:start w:val="1"/>
      <w:numFmt w:val="lowerRoman"/>
      <w:suff w:val="tab"/>
      <w:lvlText w:val="%3."/>
      <w:lvlJc w:val="right"/>
      <w:pPr>
        <w:ind w:hanging="18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lowerLetter"/>
      <w:suff w:val="tab"/>
      <w:lvlText w:val="%5."/>
      <w:lvlJc w:val="left"/>
      <w:pPr>
        <w:ind w:hanging="360" w:left="3600"/>
        <w:tabs>
          <w:tab w:val="left" w:pos="3600" w:leader="none"/>
        </w:tabs>
      </w:pPr>
      <w:rPr/>
    </w:lvl>
    <w:lvl w:ilvl="5" w:tplc="1009001B">
      <w:start w:val="1"/>
      <w:numFmt w:val="lowerRoman"/>
      <w:suff w:val="tab"/>
      <w:lvlText w:val="%6."/>
      <w:lvlJc w:val="right"/>
      <w:pPr>
        <w:ind w:hanging="18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lowerLetter"/>
      <w:suff w:val="tab"/>
      <w:lvlText w:val="%8."/>
      <w:lvlJc w:val="left"/>
      <w:pPr>
        <w:ind w:hanging="360" w:left="5760"/>
        <w:tabs>
          <w:tab w:val="left" w:pos="5760" w:leader="none"/>
        </w:tabs>
      </w:pPr>
      <w:rPr/>
    </w:lvl>
    <w:lvl w:ilvl="8" w:tplc="1009001B">
      <w:start w:val="1"/>
      <w:numFmt w:val="lowerRoman"/>
      <w:suff w:val="tab"/>
      <w:lvlText w:val="%9."/>
      <w:lvlJc w:val="right"/>
      <w:pPr>
        <w:ind w:hanging="180" w:left="6480"/>
        <w:tabs>
          <w:tab w:val="left" w:pos="6480" w:leader="none"/>
        </w:tabs>
      </w:pPr>
      <w:rPr/>
    </w:lvl>
  </w:abstractNum>
  <w:abstractNum w:abstractNumId="14">
    <w:nsid w:val="433511CE"/>
    <w:multiLevelType w:val="multilevel"/>
    <w:lvl w:ilvl="0">
      <w:start w:val="1"/>
      <w:numFmt w:val="decimal"/>
      <w:suff w:val="tab"/>
      <w:lvlText w:val="%1."/>
      <w:lvlJc w:val="left"/>
      <w:pPr>
        <w:ind w:firstLine="0" w:left="0"/>
        <w:tabs>
          <w:tab w:val="left" w:pos="360" w:leader="none"/>
        </w:tabs>
      </w:pPr>
      <w:rPr>
        <w:color w:val="auto"/>
        <w:sz w:val="22"/>
        <w:u w:val="single"/>
      </w:rPr>
    </w:lvl>
    <w:lvl w:ilvl="1">
      <w:start w:val="1"/>
      <w:numFmt w:val="decimal"/>
      <w:suff w:val="tab"/>
      <w:lvlText w:val=".%2"/>
      <w:lvlJc w:val="left"/>
      <w:pPr>
        <w:ind w:hanging="720" w:left="1440"/>
        <w:tabs>
          <w:tab w:val="left" w:pos="1440" w:leader="none"/>
        </w:tabs>
      </w:pPr>
      <w:rPr/>
    </w:lvl>
    <w:lvl w:ilvl="2">
      <w:start w:val="1"/>
      <w:numFmt w:val="decimal"/>
      <w:suff w:val="tab"/>
      <w:lvlText w:val="%1.%2.%3"/>
      <w:lvlJc w:val="left"/>
      <w:pPr>
        <w:ind w:firstLine="1440" w:left="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1.%2.%3.%4.%5"/>
      <w:lvlJc w:val="left"/>
      <w:pPr>
        <w:ind w:firstLine="0" w:left="0"/>
        <w:tabs>
          <w:tab w:val="left" w:pos="0" w:leader="none"/>
        </w:tabs>
      </w:pPr>
      <w:rPr/>
    </w:lvl>
    <w:lvl w:ilvl="5">
      <w:start w:val="1"/>
      <w:numFmt w:val="decimal"/>
      <w:suff w:val="tab"/>
      <w:lvlText w:val="%1.%2.%3.%4.%5.%6"/>
      <w:lvlJc w:val="left"/>
      <w:pPr>
        <w:ind w:firstLine="0" w:left="0"/>
        <w:tabs>
          <w:tab w:val="left" w:pos="0" w:leader="none"/>
        </w:tabs>
      </w:pPr>
      <w:rPr/>
    </w:lvl>
    <w:lvl w:ilvl="6">
      <w:start w:val="1"/>
      <w:numFmt w:val="decimal"/>
      <w:suff w:val="tab"/>
      <w:lvlText w:val="%1.%2.%3.%4.%5.%6.%7"/>
      <w:lvlJc w:val="left"/>
      <w:pPr>
        <w:ind w:firstLine="0" w:left="0"/>
        <w:tabs>
          <w:tab w:val="left" w:pos="0" w:leader="none"/>
        </w:tabs>
      </w:pPr>
      <w:rPr/>
    </w:lvl>
    <w:lvl w:ilvl="7">
      <w:start w:val="1"/>
      <w:numFmt w:val="decimal"/>
      <w:suff w:val="tab"/>
      <w:lvlText w:val="%1.%2.%3.%4.%5.%6.%7.%8"/>
      <w:lvlJc w:val="left"/>
      <w:pPr>
        <w:ind w:firstLine="0" w:left="0"/>
        <w:tabs>
          <w:tab w:val="left" w:pos="0" w:leader="none"/>
        </w:tabs>
      </w:pPr>
      <w:rPr/>
    </w:lvl>
    <w:lvl w:ilvl="8">
      <w:start w:val="1"/>
      <w:numFmt w:val="decimal"/>
      <w:suff w:val="tab"/>
      <w:lvlText w:val="%1.%2.%3.%4.%5.%6.%7.%8.%9"/>
      <w:lvlJc w:val="left"/>
      <w:pPr>
        <w:ind w:firstLine="0" w:left="0"/>
        <w:tabs>
          <w:tab w:val="left" w:pos="0" w:leader="none"/>
        </w:tabs>
      </w:pPr>
      <w:rPr/>
    </w:lvl>
  </w:abstractNum>
  <w:abstractNum w:abstractNumId="15">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6">
    <w:nsid w:val="4E901E2F"/>
    <w:multiLevelType w:val="multilevel"/>
    <w:lvl w:ilvl="0">
      <w:start w:val="1"/>
      <w:numFmt w:val="decimal"/>
      <w:suff w:val="tab"/>
      <w:lvlText w:val="%1"/>
      <w:lvlJc w:val="left"/>
      <w:pPr>
        <w:ind w:hanging="360" w:left="360"/>
        <w:tabs>
          <w:tab w:val="left" w:pos="360" w:leader="none"/>
        </w:tabs>
      </w:pPr>
      <w:rPr>
        <w:u w:val="single"/>
      </w:rPr>
    </w:lvl>
    <w:lvl w:ilvl="1">
      <w:start w:val="1"/>
      <w:numFmt w:val="decimal"/>
      <w:suff w:val="tab"/>
      <w:lvlText w:val="%1.%2"/>
      <w:lvlJc w:val="left"/>
      <w:pPr>
        <w:ind w:hanging="360" w:left="360"/>
        <w:tabs>
          <w:tab w:val="left" w:pos="360" w:leader="none"/>
        </w:tabs>
      </w:pPr>
      <w:rPr>
        <w:u w:val="single"/>
      </w:rPr>
    </w:lvl>
    <w:lvl w:ilvl="2">
      <w:start w:val="1"/>
      <w:numFmt w:val="decimal"/>
      <w:suff w:val="tab"/>
      <w:lvlText w:val="%1.%2.%3"/>
      <w:lvlJc w:val="left"/>
      <w:pPr>
        <w:ind w:hanging="720" w:left="720"/>
        <w:tabs>
          <w:tab w:val="left" w:pos="720" w:leader="none"/>
        </w:tabs>
      </w:pPr>
      <w:rPr>
        <w:u w:val="single"/>
      </w:rPr>
    </w:lvl>
    <w:lvl w:ilvl="3">
      <w:start w:val="1"/>
      <w:numFmt w:val="decimal"/>
      <w:suff w:val="tab"/>
      <w:lvlText w:val="%1.%2.%3.%4"/>
      <w:lvlJc w:val="left"/>
      <w:pPr>
        <w:ind w:hanging="1080" w:left="1080"/>
        <w:tabs>
          <w:tab w:val="left" w:pos="1080" w:leader="none"/>
        </w:tabs>
      </w:pPr>
      <w:rPr>
        <w:u w:val="single"/>
      </w:rPr>
    </w:lvl>
    <w:lvl w:ilvl="4">
      <w:start w:val="1"/>
      <w:numFmt w:val="decimal"/>
      <w:suff w:val="tab"/>
      <w:lvlText w:val="%1.%2.%3.%4.%5"/>
      <w:lvlJc w:val="left"/>
      <w:pPr>
        <w:ind w:hanging="1080" w:left="1080"/>
        <w:tabs>
          <w:tab w:val="left" w:pos="1080" w:leader="none"/>
        </w:tabs>
      </w:pPr>
      <w:rPr>
        <w:u w:val="single"/>
      </w:rPr>
    </w:lvl>
    <w:lvl w:ilvl="5">
      <w:start w:val="1"/>
      <w:numFmt w:val="decimal"/>
      <w:suff w:val="tab"/>
      <w:lvlText w:val="%1.%2.%3.%4.%5.%6"/>
      <w:lvlJc w:val="left"/>
      <w:pPr>
        <w:ind w:hanging="1440" w:left="1440"/>
        <w:tabs>
          <w:tab w:val="left" w:pos="1440" w:leader="none"/>
        </w:tabs>
      </w:pPr>
      <w:rPr>
        <w:u w:val="single"/>
      </w:rPr>
    </w:lvl>
    <w:lvl w:ilvl="6">
      <w:start w:val="1"/>
      <w:numFmt w:val="decimal"/>
      <w:suff w:val="tab"/>
      <w:lvlText w:val="%1.%2.%3.%4.%5.%6.%7"/>
      <w:lvlJc w:val="left"/>
      <w:pPr>
        <w:ind w:hanging="1440" w:left="1440"/>
        <w:tabs>
          <w:tab w:val="left" w:pos="1440" w:leader="none"/>
        </w:tabs>
      </w:pPr>
      <w:rPr>
        <w:u w:val="single"/>
      </w:rPr>
    </w:lvl>
    <w:lvl w:ilvl="7">
      <w:start w:val="1"/>
      <w:numFmt w:val="decimal"/>
      <w:suff w:val="tab"/>
      <w:lvlText w:val="%1.%2.%3.%4.%5.%6.%7.%8"/>
      <w:lvlJc w:val="left"/>
      <w:pPr>
        <w:ind w:hanging="1800" w:left="1800"/>
        <w:tabs>
          <w:tab w:val="left" w:pos="1800" w:leader="none"/>
        </w:tabs>
      </w:pPr>
      <w:rPr>
        <w:u w:val="single"/>
      </w:rPr>
    </w:lvl>
    <w:lvl w:ilvl="8">
      <w:start w:val="1"/>
      <w:numFmt w:val="decimal"/>
      <w:suff w:val="tab"/>
      <w:lvlText w:val="%1.%2.%3.%4.%5.%6.%7.%8.%9"/>
      <w:lvlJc w:val="left"/>
      <w:pPr>
        <w:ind w:hanging="2160" w:left="2160"/>
        <w:tabs>
          <w:tab w:val="left" w:pos="2160" w:leader="none"/>
        </w:tabs>
      </w:pPr>
      <w:rPr>
        <w:u w:val="single"/>
      </w:rPr>
    </w:lvl>
  </w:abstractNum>
  <w:abstractNum w:abstractNumId="17">
    <w:nsid w:val="50407D28"/>
    <w:multiLevelType w:val="multilevel"/>
    <w:lvl w:ilvl="0">
      <w:start w:val="1"/>
      <w:numFmt w:val="decimal"/>
      <w:suff w:val="tab"/>
      <w:lvlText w:val="PART %1."/>
      <w:lvlJc w:val="left"/>
      <w:pPr>
        <w:ind w:hanging="432" w:left="432"/>
        <w:tabs>
          <w:tab w:val="left" w:pos="432" w:leader="none"/>
        </w:tabs>
      </w:pPr>
      <w:rPr>
        <w:b w:val="0"/>
        <w:i w:val="0"/>
        <w:caps w:val="0"/>
        <w:strike w:val="0"/>
        <w:noProof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7"/>
  </w:num>
  <w:num w:numId="4">
    <w:abstractNumId w:val="7"/>
  </w:num>
  <w:num w:numId="5">
    <w:abstractNumId w:val="18"/>
  </w:num>
  <w:num w:numId="6">
    <w:abstractNumId w:val="5"/>
  </w:num>
  <w:num w:numId="7">
    <w:abstractNumId w:val="11"/>
  </w:num>
  <w:num w:numId="8">
    <w:abstractNumId w:val="4"/>
  </w:num>
  <w:num w:numId="9">
    <w:abstractNumId w:val="19"/>
  </w:num>
  <w:num w:numId="10">
    <w:abstractNumId w:val="10"/>
  </w:num>
  <w:num w:numId="11">
    <w:abstractNumId w:val="17"/>
  </w:num>
  <w:num w:numId="12">
    <w:abstractNumId w:val="16"/>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2"/>
  </w:num>
  <w:num w:numId="17">
    <w:abstractNumId w:val="2"/>
  </w:num>
  <w:num w:numId="18">
    <w:abstractNumId w:val="8"/>
  </w:num>
  <w:num w:numId="19">
    <w:abstractNumId w:val="3"/>
  </w:num>
  <w:num w:numId="20">
    <w:abstractNumId w:val="13"/>
  </w:num>
  <w:num w:numId="21">
    <w:abstractNumId w:val="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5"/>
  </w:num>
  <w:num w:numId="24">
    <w:abstractNumId w:val="15"/>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24"/>
      </w:numPr>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24"/>
      </w:numPr>
      <w:spacing w:before="80" w:beforeAutospacing="0" w:afterAutospacing="0"/>
      <w:outlineLvl w:val="1"/>
    </w:pPr>
    <w:rPr>
      <w:rFonts w:ascii="Calibri" w:hAnsi="Calibri"/>
      <w:b w:val="0"/>
      <w:u w:val="single"/>
    </w:rPr>
  </w:style>
  <w:style w:type="paragraph" w:styleId="P3">
    <w:name w:val="heading 3"/>
    <w:basedOn w:val="P15"/>
    <w:qFormat/>
    <w:pPr>
      <w:numPr>
        <w:ilvl w:val="2"/>
        <w:numId w:val="24"/>
      </w:numPr>
      <w:spacing w:before="80" w:beforeAutospacing="0" w:afterAutospacing="0"/>
      <w:outlineLvl w:val="2"/>
    </w:pPr>
    <w:rPr>
      <w:rFonts w:ascii="Calibri" w:hAnsi="Calibri"/>
      <w:b w:val="0"/>
      <w:lang w:val="en-CA"/>
    </w:rPr>
  </w:style>
  <w:style w:type="paragraph" w:styleId="P4">
    <w:name w:val="heading 4"/>
    <w:basedOn w:val="P15"/>
    <w:qFormat/>
    <w:pPr>
      <w:numPr>
        <w:ilvl w:val="3"/>
        <w:numId w:val="24"/>
      </w:numPr>
      <w:outlineLvl w:val="3"/>
    </w:pPr>
    <w:rPr>
      <w:rFonts w:ascii="Calibri" w:hAnsi="Calibri"/>
      <w:b w:val="0"/>
    </w:rPr>
  </w:style>
  <w:style w:type="paragraph" w:styleId="P5">
    <w:name w:val="heading 5"/>
    <w:basedOn w:val="P15"/>
    <w:qFormat/>
    <w:pPr>
      <w:numPr>
        <w:ilvl w:val="4"/>
        <w:numId w:val="24"/>
      </w:numPr>
      <w:outlineLvl w:val="4"/>
    </w:pPr>
    <w:rPr>
      <w:rFonts w:ascii="Calibri" w:hAnsi="Calibri"/>
      <w:b w:val="0"/>
    </w:rPr>
  </w:style>
  <w:style w:type="paragraph" w:styleId="P6">
    <w:name w:val="heading 6"/>
    <w:basedOn w:val="P15"/>
    <w:next w:val="P10"/>
    <w:qFormat/>
    <w:pPr>
      <w:numPr>
        <w:ilvl w:val="5"/>
        <w:numId w:val="24"/>
      </w:numPr>
      <w:outlineLvl w:val="5"/>
    </w:pPr>
    <w:rPr>
      <w:i w:val="1"/>
      <w:sz w:val="24"/>
    </w:rPr>
  </w:style>
  <w:style w:type="paragraph" w:styleId="P7">
    <w:name w:val="heading 7"/>
    <w:basedOn w:val="P0"/>
    <w:next w:val="P0"/>
    <w:qFormat/>
    <w:pPr>
      <w:numPr>
        <w:ilvl w:val="6"/>
        <w:numId w:val="24"/>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9"/>
    <w:pPr>
      <w:spacing w:after="160" w:beforeAutospacing="0" w:afterAutospacing="0"/>
    </w:pPr>
    <w:rPr/>
  </w:style>
  <w:style w:type="paragraph" w:styleId="P11">
    <w:name w:val="Bullet"/>
    <w:basedOn w:val="P10"/>
    <w:next w:val="P10"/>
    <w:pPr/>
    <w:rPr/>
  </w:style>
  <w:style w:type="paragraph" w:styleId="P12">
    <w:name w:val="annotation text"/>
    <w:basedOn w:val="P0"/>
    <w:link w:val="C10"/>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 Bullets"/>
    <w:basedOn w:val="P0"/>
    <w:pPr>
      <w:widowControl w:val="0"/>
      <w:numPr>
        <w:numId w:val="15"/>
      </w:numPr>
      <w:tabs>
        <w:tab w:val="left" w:pos="547" w:leader="none"/>
        <w:tab w:val="left" w:pos="1267" w:leader="none"/>
        <w:tab w:val="left" w:pos="1987" w:leader="none"/>
        <w:tab w:val="left" w:pos="2707" w:leader="none"/>
      </w:tabs>
    </w:pPr>
    <w:rPr>
      <w:rFonts w:ascii="Arial" w:hAnsi="Arial"/>
      <w:sz w:val="20"/>
      <w:lang w:val="en-CA"/>
    </w:rPr>
  </w:style>
  <w:style w:type="paragraph" w:styleId="P48">
    <w:name w:val="Balloon Text"/>
    <w:basedOn w:val="P0"/>
    <w:semiHidden/>
    <w:pPr/>
    <w:rPr>
      <w:rFonts w:ascii="Tahoma" w:hAnsi="Tahoma"/>
      <w:sz w:val="16"/>
    </w:rPr>
  </w:style>
  <w:style w:type="paragraph" w:styleId="P49">
    <w:name w:val="Body Text 3"/>
    <w:basedOn w:val="P0"/>
    <w:pPr>
      <w:widowControl w:val="0"/>
    </w:pPr>
    <w:rPr>
      <w:rFonts w:ascii="Times New Roman" w:hAnsi="Times New Roman"/>
      <w:color w:val="000000"/>
      <w:sz w:val="24"/>
    </w:rPr>
  </w:style>
  <w:style w:type="paragraph" w:styleId="P50">
    <w:name w:val="Normal (Web)"/>
    <w:basedOn w:val="P0"/>
    <w:pPr>
      <w:spacing w:before="100" w:after="100" w:beforeAutospacing="1" w:afterAutospacing="1"/>
      <w:jc w:val="both"/>
    </w:pPr>
    <w:rPr>
      <w:rFonts w:ascii="Times New Roman" w:hAnsi="Times New Roman"/>
      <w:sz w:val="24"/>
      <w:lang w:val="en-CA" w:eastAsia="en-CA"/>
    </w:rPr>
  </w:style>
  <w:style w:type="paragraph" w:styleId="P51">
    <w:name w:val="annotation subject"/>
    <w:basedOn w:val="P12"/>
    <w:next w:val="P12"/>
    <w:link w:val="C11"/>
    <w:pPr>
      <w:spacing w:before="0" w:beforeAutospacing="0" w:afterAutospacing="0"/>
    </w:pPr>
    <w:rPr>
      <w:rFonts w:ascii="Book Antiqua" w:hAnsi="Book Antiqua"/>
      <w:b w:val="1"/>
      <w:sz w:val="20"/>
    </w:rPr>
  </w:style>
  <w:style w:type="paragraph" w:styleId="P52">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rPr>
      <w:rFonts w:ascii="Arial Narrow" w:hAnsi="Arial Narrow"/>
      <w:b w:val="1"/>
      <w:sz w:val="22"/>
      <w:lang w:val="en-US" w:bidi="ar-SA" w:eastAsia="en-US"/>
    </w:rPr>
  </w:style>
  <w:style w:type="character" w:styleId="C7">
    <w:name w:val="Heading 3 Char"/>
    <w:rPr>
      <w:rFonts w:ascii="Arial" w:hAnsi="Arial"/>
      <w:b w:val="1"/>
      <w:sz w:val="22"/>
      <w:lang w:val="en-US" w:bidi="ar-SA" w:eastAsia="en-US"/>
    </w:rPr>
  </w:style>
  <w:style w:type="character" w:styleId="C8">
    <w:name w:val="Strong"/>
    <w:qFormat/>
    <w:rPr>
      <w:b w:val="1"/>
    </w:rPr>
  </w:style>
  <w:style w:type="character" w:styleId="C9">
    <w:name w:val="Body Text Char"/>
    <w:link w:val="P10"/>
    <w:semiHidden/>
    <w:rPr/>
  </w:style>
  <w:style w:type="character" w:styleId="C10">
    <w:name w:val="Comment Text Char"/>
    <w:link w:val="P12"/>
    <w:semiHidden/>
    <w:rPr>
      <w:rFonts w:ascii="Arial" w:hAnsi="Arial"/>
    </w:rPr>
  </w:style>
  <w:style w:type="character" w:styleId="C11">
    <w:name w:val="Comment Subject Char"/>
    <w:link w:val="P51"/>
    <w:rPr>
      <w:rFonts w:ascii="Book Antiqua" w:hAnsi="Book Antiqua"/>
      <w:b w:val="1"/>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2022-04-21T14:00:00Z</dcterms:created>
  <cp:lastModifiedBy>Ray</cp:lastModifiedBy>
  <cp:lastPrinted>2015-04-09T15:36:00Z</cp:lastPrinted>
  <dcterms:modified xsi:type="dcterms:W3CDTF">2022-10-04T19:38:50Z</dcterms:modified>
  <cp:revision>7</cp:revision>
  <dc:title>01351_Health_and_Safety (Dec 11,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TemplateUrl">
    <vt:lpwstr/>
  </property>
  <property fmtid="{D5CDD505-2E9C-101B-9397-08002B2CF9AE}" pid="4" name="xd_ProgID">
    <vt:lpwstr/>
  </property>
  <property fmtid="{D5CDD505-2E9C-101B-9397-08002B2CF9AE}" pid="5" name="_CopySource">
    <vt:lpwstr>https://mycloud.york.ca/projects/EnvServProgramDeliveryOffice/Design/Shared Documents/Technical Design Specification Templates/Division 01 - General Requirements/01351 Health and Safety NEW.doc</vt:lpwstr>
  </property>
  <property fmtid="{D5CDD505-2E9C-101B-9397-08002B2CF9AE}" pid="6" name="Order">
    <vt:r8>305700</vt:r8>
  </property>
  <property fmtid="{D5CDD505-2E9C-101B-9397-08002B2CF9AE}" pid="7" name="display_urn:schemas-microsoft-com:office:office#Editor">
    <vt:lpwstr>Mutton, Benjamin</vt:lpwstr>
  </property>
  <property fmtid="{D5CDD505-2E9C-101B-9397-08002B2CF9AE}" pid="8" name="URL">
    <vt:lpwstr/>
  </property>
  <property fmtid="{D5CDD505-2E9C-101B-9397-08002B2CF9AE}" pid="9" name="ContentTypeId">
    <vt:lpwstr>0x01010069F33AF97BEDA443B34B2276A31F1843</vt:lpwstr>
  </property>
  <property fmtid="{D5CDD505-2E9C-101B-9397-08002B2CF9AE}" pid="10" name="xd_Signature">
    <vt:bool>false</vt:bool>
  </property>
  <property fmtid="{D5CDD505-2E9C-101B-9397-08002B2CF9AE}" pid="11" name="_ExtendedDescription">
    <vt:lpwstr/>
  </property>
  <property fmtid="{D5CDD505-2E9C-101B-9397-08002B2CF9AE}" pid="12" name="TriggerFlowInfo">
    <vt:lpwstr/>
  </property>
  <property fmtid="{D5CDD505-2E9C-101B-9397-08002B2CF9AE}" pid="13" name="ComplianceAssetId">
    <vt:lpwstr/>
  </property>
</Properties>
</file>