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8D2A6D" Type="http://schemas.openxmlformats.org/officeDocument/2006/relationships/officeDocument" Target="word/document.xml"/><Relationship Id="coreR178D2A6D" Type="http://schemas.openxmlformats.org/package/2006/relationships/metadata/core-properties" Target="docProps/core.xml"/><Relationship Id="customR178D2A6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of newly created 01425 for internal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BW’s comments, change in responsibility for CMMS input role (to Consultant as per SMacD).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December 9,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Incorporation of all comments and finalization.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October 6,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#6325259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December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April 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4"/>
              <w:rPr>
                <w:rFonts w:ascii="Calibri" w:hAnsi="Calibri"/>
                <w:sz w:val="22"/>
              </w:rPr>
            </w:pPr>
            <w:r>
              <w:rPr>
                <w:rFonts w:ascii="Calibri" w:hAnsi="Calibri"/>
                <w:sz w:val="22"/>
              </w:rPr>
              <w:t>Updated references to Design Guidelines Section 35 - Development and Maintenance of Asset Inventory and Tagging and Design Guidelines Section 30 – Operation Manual Guideline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Infrastructure Asset Management</w:t>
      </w:r>
    </w:p>
    <w:p>
      <w:pPr>
        <w:pStyle w:val="P35"/>
      </w:pPr>
      <w:r>
        <w:t xml:space="preserve">The Region maintains a comprehensive asset inventory and tagging management system that is essential in documenting, maintaining and effectively managing a complex and widespread water and wastewater infrastructure.  The Region views all projects impacting on such infrastructure must, whether by addition, deletion or modification, properly and fully conform to the Region’s asset inventory and tagging standards that include providing and entering required asset data into the Computerized Maintenance Management System (“CMMS”).  </w:t>
      </w:r>
    </w:p>
    <w:p>
      <w:pPr>
        <w:pStyle w:val="P35"/>
      </w:pPr>
      <w:r>
        <w:t>“Section 35 – Development and Maintenance of Asset Inventory and Tagging” (“Section 35”) is the key document that describes asset inventories, asset tagging protocols and asset inventory updating protocols; it is available on the Region’s standards web portal. The Contractor must be familiar with the contents and requirements of Section 35 and shall complete all such requirements prior to the commissioning of the entire facility.</w:t>
      </w:r>
    </w:p>
    <w:p>
      <w:pPr>
        <w:pStyle w:val="P35"/>
      </w:pPr>
      <w:r>
        <w:t xml:space="preserve">The Contractor shall also comply with </w:t>
      </w:r>
      <w:r>
        <w:rPr>
          <w:highlight w:val="yellow"/>
        </w:rPr>
        <w:t>Section 11010 – Equipment General Requirements</w:t>
      </w:r>
      <w:r>
        <w:t xml:space="preserve"> which provides additional details with respect to CMMS data requirements for equipment including supporting documentation, studies, maintenance procedures, job plans, safety procedures etc.</w:t>
      </w:r>
    </w:p>
    <w:p>
      <w:pPr>
        <w:pStyle w:val="P35"/>
      </w:pPr>
      <w:r>
        <w:t>The Region utilizes Maximo™ as the CMMS and shall provide the devices and training to all external agents for effective transfer of critical information into the CMMS.</w:t>
      </w:r>
    </w:p>
    <w:p>
      <w:pPr>
        <w:pStyle w:val="P35"/>
      </w:pPr>
      <w:r>
        <w:t xml:space="preserve">While Section 35 acknowledges the collaborative responsibility of the Region and external agents in ensuring conformance to the standards and requirements contained therein, it will be the responsibility of the Contractor to acquire data and provide such data to the Consultant who is responsible for uploading all required data into Maximo™. The Contractor must provide the defined equipment information in a timely manner prior to commissioning of components of the facility and of the entire facility prior to Total Performance of the Work. The Consultant and Region remain available to provide support and interpretation of the Contractor requirements as defined in Section 35 and </w:t>
      </w:r>
      <w:r>
        <w:rPr>
          <w:highlight w:val="yellow"/>
        </w:rPr>
        <w:t>Section 11010</w:t>
      </w:r>
      <w:r>
        <w:t xml:space="preserve"> or as further defined by other Specification Sections.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w:t>
      </w: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numPr>
          <w:ilvl w:val="2"/>
          <w:numId w:val="0"/>
        </w:numPr>
        <w:ind w:left="720"/>
        <w:rPr>
          <w:highlight w:val="yellow"/>
        </w:rPr>
      </w:pPr>
      <w:r>
        <w:rPr>
          <w:highlight w:val="yellow"/>
        </w:rPr>
        <w:t>.1</w:t>
        <w:tab/>
        <w:t xml:space="preserve">Section [______ – ____________]:  Execution requirements for [item]...  specified under this Section.</w:t>
      </w: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6"/>
        <w:rPr>
          <w:highlight w:val="yellow"/>
        </w:rPr>
      </w:pPr>
      <w:bookmarkStart w:id="0" w:name="_Section_01425_-"/>
      <w:bookmarkEnd w:id="0"/>
      <w:bookmarkStart w:id="1" w:name="_Section_01815_-"/>
      <w:bookmarkEnd w:id="1"/>
      <w:r>
        <w:rPr>
          <w:highlight w:val="yellow"/>
        </w:rPr>
        <w:t>Section 01810 – Equipment Testing and Facility Commissioning</w:t>
      </w:r>
    </w:p>
    <w:p>
      <w:pPr>
        <w:pStyle w:val="P36"/>
        <w:rPr>
          <w:highlight w:val="yellow"/>
        </w:rPr>
      </w:pPr>
      <w:r>
        <w:rPr>
          <w:highlight w:val="yellow"/>
        </w:rPr>
        <w:t>Section 11010 – Equipment General Requirements</w:t>
      </w:r>
    </w:p>
    <w:p>
      <w:pPr>
        <w:pStyle w:val="P36"/>
      </w:pPr>
      <w:r>
        <w:t>Design Guidelines Section 30 – Operation Manual Guideline</w:t>
      </w:r>
    </w:p>
    <w:p>
      <w:pPr>
        <w:pStyle w:val="P36"/>
      </w:pPr>
      <w:r>
        <w:t>Design Guidelines Section 35 – Development and Maintenance of Asset Inventory and Tagging</w:t>
      </w:r>
    </w:p>
    <w:p>
      <w:pPr>
        <w:pStyle w:val="P34"/>
      </w:pPr>
      <w:r>
        <w:t>Submittals</w:t>
      </w:r>
    </w:p>
    <w:p>
      <w:pPr>
        <w:pStyle w:val="P35"/>
        <w:spacing w:before="0"/>
      </w:pPr>
      <w:r>
        <w:t>Pre-start Health &amp; Safety Checks &amp; Procedures</w:t>
      </w:r>
    </w:p>
    <w:p>
      <w:pPr>
        <w:pStyle w:val="P35"/>
        <w:spacing w:before="0"/>
      </w:pPr>
      <w:r>
        <w:t>Equipment Informational Submittals (as applicable)</w:t>
      </w:r>
    </w:p>
    <w:p>
      <w:pPr>
        <w:pStyle w:val="P35"/>
        <w:spacing w:before="0"/>
      </w:pPr>
      <w:r>
        <w:t>Arc Flash Studies</w:t>
      </w:r>
    </w:p>
    <w:p>
      <w:pPr>
        <w:pStyle w:val="P35"/>
        <w:spacing w:before="0"/>
      </w:pPr>
      <w:r>
        <w:t>Tagging List Conforming to Design Guidelines Section 35 – Development and Maintenance of Asset Inventory and Tagging</w:t>
      </w:r>
    </w:p>
    <w:p>
      <w:pPr>
        <w:pStyle w:val="P35"/>
        <w:spacing w:before="0"/>
      </w:pPr>
      <w:r>
        <w:t>Equipment information requirements as defined</w:t>
      </w:r>
    </w:p>
    <w:p>
      <w:pPr>
        <w:pStyle w:val="P35"/>
        <w:spacing w:before="0"/>
      </w:pPr>
      <w:r>
        <w:t>Operations &amp; Maintenance (O&amp;M) Manuals conforming to Design Guidelines Section 30 – Operation Manual Guideline</w:t>
      </w:r>
    </w:p>
    <w:p>
      <w:pPr>
        <w:pStyle w:val="P35"/>
        <w:spacing w:before="0"/>
      </w:pPr>
      <w:r>
        <w:t>Maintenance Manuals &amp; Maintenance Data Manuals</w:t>
      </w:r>
    </w:p>
    <w:p>
      <w:pPr>
        <w:pStyle w:val="P35"/>
        <w:spacing w:before="0"/>
      </w:pPr>
      <w:r>
        <w:t>Computerized Maintenance Management System (CMMS) Data Requirements (Maximo)</w:t>
      </w:r>
    </w:p>
    <w:p>
      <w:pPr>
        <w:pStyle w:val="P35"/>
        <w:spacing w:before="0"/>
      </w:pPr>
      <w:r>
        <w:t>Job Plans</w:t>
      </w:r>
    </w:p>
    <w:p>
      <w:pPr>
        <w:pStyle w:val="P35"/>
        <w:spacing w:before="0"/>
      </w:pPr>
      <w:r>
        <w:t>Maintenance Plans</w:t>
      </w:r>
    </w:p>
    <w:p>
      <w:pPr>
        <w:pStyle w:val="P35"/>
        <w:spacing w:before="0"/>
      </w:pPr>
      <w:r>
        <w:t>Preventative Maintenance tasks and frequencies</w:t>
      </w:r>
    </w:p>
    <w:p>
      <w:pPr>
        <w:pStyle w:val="P35"/>
        <w:spacing w:before="0"/>
      </w:pPr>
      <w:r>
        <w:t xml:space="preserve">Predictive Maintenance requirements and other maintenance of assets  </w:t>
      </w:r>
    </w:p>
    <w:p>
      <w:pPr>
        <w:pStyle w:val="P35"/>
        <w:spacing w:before="0"/>
      </w:pPr>
      <w:r>
        <w:t>Certificates of installation for equipment (hard and soft copy)</w:t>
      </w:r>
    </w:p>
    <w:p>
      <w:pPr>
        <w:pStyle w:val="P35"/>
        <w:spacing w:before="0"/>
      </w:pPr>
      <w:r>
        <w:t>Spare parts lists, special tools lists</w:t>
      </w:r>
    </w:p>
    <w:p>
      <w:pPr>
        <w:pStyle w:val="P34"/>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r>
        <w:rPr>
          <w:rFonts w:ascii="Calibri" w:hAnsi="Calibri"/>
          <w:sz w:val="22"/>
        </w:rPr>
        <w:t xml:space="preserve"> </w:t>
      </w:r>
    </w:p>
    <w:p>
      <w:pPr>
        <w:pStyle w:val="P33"/>
      </w:pPr>
      <w:r>
        <w:t>PRODUCTS (not used)</w:t>
      </w:r>
    </w:p>
    <w:p>
      <w:pPr>
        <w:pStyle w:val="P33"/>
      </w:pPr>
      <w:r>
        <w:t>EXECUTION</w:t>
      </w:r>
    </w:p>
    <w:p>
      <w:pPr>
        <w:pStyle w:val="P34"/>
      </w:pPr>
      <w:r>
        <w:t>Time of Completion</w:t>
      </w:r>
    </w:p>
    <w:p>
      <w:pPr>
        <w:pStyle w:val="P35"/>
        <w:spacing w:before="0"/>
      </w:pPr>
      <w:r>
        <w:t xml:space="preserve">The Contractor must provide all required data to the Consultant </w:t>
      </w:r>
      <w:r>
        <w:rPr>
          <w:highlight w:val="yellow"/>
        </w:rPr>
        <w:t>[XX] Working Days</w:t>
      </w:r>
      <w:r>
        <w:t xml:space="preserve"> in advance of commissioning.  The uploading of required asset data complete with maintenance tasks (Job Plans, Preventative Maintenance tasks and frequencies) into the CMMS (Maximo) must be performed prior to the commencement of the commissioning activities and as specified in the Work schedule. </w:t>
      </w:r>
    </w:p>
    <w:p>
      <w:pPr>
        <w:pStyle w:val="P35"/>
        <w:spacing w:before="0"/>
      </w:pPr>
      <w:r>
        <w:t xml:space="preserve">The uploading of required maintenance tasks (including frequencies) and data into the CMMS (Maximo) must be done prior to Commissioning and as defined in the Work schedule. The Contractor must provide listings of all required maintenance tasks to the Consultant </w:t>
      </w:r>
      <w:r>
        <w:rPr>
          <w:highlight w:val="yellow"/>
        </w:rPr>
        <w:t>[XX] Working Days</w:t>
      </w:r>
      <w:r>
        <w:t xml:space="preserve"> in advance of commissioning.  The Contractor must provide listings of all required safety procedures to the Consultant </w:t>
      </w:r>
      <w:r>
        <w:rPr>
          <w:highlight w:val="yellow"/>
        </w:rPr>
        <w:t>[XX] Working Days</w:t>
      </w:r>
      <w:r>
        <w:t xml:space="preserve"> in advance of the commencement of commissioning activities.</w:t>
      </w:r>
    </w:p>
    <w:p>
      <w:pPr>
        <w:pStyle w:val="P35"/>
      </w:pPr>
      <w:r>
        <w:t xml:space="preserve">Uploading of required safety procedures into the CMMS (Maximo) must be performed prior to Commissioning and as defined in the Work schedule. The Contractor must provide listings of all required safety procedures to the Consultant a minimum of </w:t>
      </w:r>
      <w:r>
        <w:rPr>
          <w:highlight w:val="yellow"/>
        </w:rPr>
        <w:t>[XX] Working Days</w:t>
      </w:r>
      <w:r>
        <w:t xml:space="preserve"> in advance of the commencement of commissioning activities.</w:t>
      </w:r>
    </w:p>
    <w:p>
      <w:pPr>
        <w:pStyle w:val="P34"/>
      </w:pPr>
      <w:r>
        <w:t xml:space="preserve"> Manufacturers Services and Certification of Installation</w:t>
      </w:r>
    </w:p>
    <w:p>
      <w:pPr>
        <w:pStyle w:val="P35"/>
      </w:pPr>
      <w:r>
        <w:t>All certificates of installation for equipment requiring such certification shall be provided to the Consultant both in hardcopy and in electronic format.</w:t>
      </w:r>
    </w:p>
    <w:p>
      <w:pPr>
        <w:pStyle w:val="P35"/>
      </w:pPr>
      <w:r>
        <w:t>Provide all materials and documents necessary to upload the required information into the CMMS (Maximo).</w:t>
      </w:r>
    </w:p>
    <w:p>
      <w:pPr>
        <w:pStyle w:val="P35"/>
      </w:pPr>
      <w:r>
        <w:t xml:space="preserve">The Contractor shall provide to the Consultant details of all maintenance and repair work performed on equipment under warranty prior to commissioning and Total Performance of the Work for upload to the Region’s CMMS (Maximo). </w:t>
      </w:r>
    </w:p>
    <w:p>
      <w:pPr>
        <w:pStyle w:val="P34"/>
      </w:pPr>
      <w:r>
        <w:t>Acquaintance with Work</w:t>
      </w:r>
    </w:p>
    <w:p>
      <w:pPr>
        <w:pStyle w:val="P35"/>
      </w:pPr>
      <w:r>
        <w:t xml:space="preserve">The Contractor shall be fully acquainted with all requirements in the Contract Documents related to the acquisition of and uploading of essential equipment data into the Region’s CMMS (Maximo).  At no time shall the Contractor make any claim that any misunderstanding existed in regard to the nature or amount of work to be performed in relation to acquiring and providing the type of data specified in this Section. </w:t>
      </w:r>
    </w:p>
    <w:p>
      <w:pPr>
        <w:pStyle w:val="P35"/>
      </w:pPr>
      <w:r>
        <w:t>Obtain all necessary details from equipment suppliers including asset and other information pertinent to complying with data requirements cited in Section 35 – Development and Maintenance of Asset Inventory and Tagging.</w:t>
      </w:r>
    </w:p>
    <w:p>
      <w:pPr>
        <w:pStyle w:val="P34"/>
      </w:pPr>
      <w:r>
        <w:t>Special Tools and Accessories</w:t>
      </w:r>
    </w:p>
    <w:p>
      <w:pPr>
        <w:pStyle w:val="P35"/>
      </w:pPr>
      <w:r>
        <w:t xml:space="preserve">Provide a list of special tools required with details for use or cross-reference to O&amp;M manuals.  Provide the list in a format that is up-loadable to the Region’s CMMS (Maximo).</w:t>
      </w:r>
    </w:p>
    <w:p>
      <w:pPr>
        <w:pStyle w:val="P34"/>
      </w:pPr>
      <w:r>
        <w:t>Testing and Commissioning</w:t>
      </w:r>
    </w:p>
    <w:p>
      <w:pPr>
        <w:pStyle w:val="P35"/>
      </w:pPr>
      <w:r>
        <w:t xml:space="preserve">Provide defined commissioning activities in accordance with </w:t>
      </w:r>
      <w:r>
        <w:rPr>
          <w:highlight w:val="yellow"/>
        </w:rPr>
        <w:t>Section 01810 – Equipment Testing and Facility Commissioning</w:t>
      </w:r>
      <w:r>
        <w:t>.</w:t>
      </w:r>
    </w:p>
    <w:p>
      <w:pPr>
        <w:pStyle w:val="P35"/>
        <w:numPr>
          <w:ilvl w:val="2"/>
          <w:numId w:val="0"/>
        </w:numPr>
        <w:ind w:left="720"/>
      </w:pPr>
    </w:p>
    <w:p>
      <w:pPr>
        <w:pStyle w:val="P35"/>
        <w:numPr>
          <w:ilvl w:val="2"/>
          <w:numId w:val="0"/>
        </w:numPr>
        <w:ind w:left="720"/>
        <w:jc w:val="center"/>
        <w:rPr>
          <w:b w:val="1"/>
        </w:rP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01425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Computerized Maintenance Management System Data Requirements</w:t>
    </w:r>
    <w:r>
      <w:rPr>
        <w:rFonts w:ascii="Calibri" w:hAnsi="Calibri"/>
      </w:rPr>
      <w:tab/>
      <w:t>2014-12-09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01425</w:t>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b w:val="1"/>
        <w:sz w:val="22"/>
      </w:rPr>
      <w:tab/>
    </w:r>
    <w:r>
      <w:rPr>
        <w:rFonts w:ascii="Calibri (Body)" w:hAnsi="Calibri (Body)"/>
        <w:b w:val="1"/>
        <w:sz w:val="22"/>
      </w:rPr>
      <w:t>COMPUTERIZED MAINTENANCE MANAGEMENT SYSTEM DATA REQUIREMENTS</w:t>
    </w:r>
    <w:r>
      <w:rPr>
        <w:rFonts w:ascii="Calibri (Body)" w:hAnsi="Calibri (Body)"/>
        <w:sz w:val="22"/>
      </w:rPr>
      <w:tab/>
      <w:t>2017-04-04</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080" w:leader="none"/>
      </w:tabs>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01425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2017-04-04</w:t>
    </w:r>
    <w:r>
      <w:rPr>
        <w:rFonts w:ascii="Calibri (Body)" w:hAnsi="Calibri (Body)"/>
        <w:b w:val="1"/>
        <w:sz w:val="22"/>
      </w:rPr>
      <w:tab/>
    </w:r>
    <w:r>
      <w:rPr>
        <w:rFonts w:ascii="Calibri (Body)" w:hAnsi="Calibri (Body)"/>
        <w:b w:val="1"/>
        <w:sz w:val="22"/>
      </w:rPr>
      <w:t>COMPUTERIZED MAINTENANCE MANAGEMENT SYSTEM DATA REQUIREMENTS</w:t>
    </w:r>
    <w:r>
      <w:rPr>
        <w:rFonts w:ascii="Calibri (Body)" w:hAnsi="Calibri (Body)"/>
        <w:sz w:val="22"/>
      </w:rPr>
      <w:tab/>
    </w:r>
  </w:p>
  <w:p>
    <w:pPr>
      <w:pBdr>
        <w:top w:val="single" w:sz="4" w:space="0" w:shadow="0" w:frame="0"/>
      </w:pBdr>
      <w:tabs>
        <w:tab w:val="center" w:pos="5040"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7BAD56A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280FB9"/>
    <w:multiLevelType w:val="multilevel"/>
    <w:lvl w:ilvl="0">
      <w:start w:val="3"/>
      <w:numFmt w:val="decimal"/>
      <w:suff w:val="tab"/>
      <w:lvlText w:val="%1"/>
      <w:lvlJc w:val="left"/>
      <w:pPr>
        <w:ind w:hanging="720" w:left="720"/>
        <w:tabs>
          <w:tab w:val="left" w:pos="720" w:leader="none"/>
        </w:tabs>
      </w:pPr>
      <w:rPr/>
    </w:lvl>
    <w:lvl w:ilvl="1">
      <w:start w:val="19"/>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6A73127"/>
    <w:multiLevelType w:val="multilevel"/>
    <w:lvl w:ilvl="0">
      <w:start w:val="3"/>
      <w:numFmt w:val="decimal"/>
      <w:suff w:val="tab"/>
      <w:lvlText w:val="%1"/>
      <w:lvlJc w:val="left"/>
      <w:pPr>
        <w:ind w:hanging="720" w:left="720"/>
        <w:tabs>
          <w:tab w:val="left" w:pos="720" w:leader="none"/>
        </w:tabs>
      </w:pPr>
      <w:rPr/>
    </w:lvl>
    <w:lvl w:ilvl="1">
      <w:start w:val="1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4">
    <w:nsid w:val="1995222E"/>
    <w:multiLevelType w:val="hybridMultilevel"/>
    <w:lvl w:ilvl="0" w:tplc="0CECE85F">
      <w:start w:val="1"/>
      <w:numFmt w:val="bullet"/>
      <w:suff w:val="tab"/>
      <w:lvlText w:val=""/>
      <w:lvlJc w:val="left"/>
      <w:pPr>
        <w:ind w:hanging="360" w:left="720"/>
      </w:pPr>
      <w:rPr>
        <w:rFonts w:ascii="Symbol" w:hAnsi="Symbol"/>
      </w:rPr>
    </w:lvl>
    <w:lvl w:ilvl="1" w:tplc="28F756BA">
      <w:start w:val="1"/>
      <w:numFmt w:val="bullet"/>
      <w:suff w:val="tab"/>
      <w:lvlText w:val="o"/>
      <w:lvlJc w:val="left"/>
      <w:pPr>
        <w:ind w:hanging="360" w:left="1440"/>
      </w:pPr>
      <w:rPr>
        <w:rFonts w:ascii="Courier New" w:hAnsi="Courier New"/>
      </w:rPr>
    </w:lvl>
    <w:lvl w:ilvl="2" w:tplc="628D1576">
      <w:start w:val="1"/>
      <w:numFmt w:val="bullet"/>
      <w:suff w:val="tab"/>
      <w:lvlText w:val=""/>
      <w:lvlJc w:val="left"/>
      <w:pPr>
        <w:ind w:hanging="360" w:left="2160"/>
      </w:pPr>
      <w:rPr>
        <w:rFonts w:ascii="Wingdings" w:hAnsi="Wingdings"/>
      </w:rPr>
    </w:lvl>
    <w:lvl w:ilvl="3" w:tplc="26941F5D">
      <w:start w:val="1"/>
      <w:numFmt w:val="bullet"/>
      <w:suff w:val="tab"/>
      <w:lvlText w:val=""/>
      <w:lvlJc w:val="left"/>
      <w:pPr>
        <w:ind w:hanging="360" w:left="2880"/>
      </w:pPr>
      <w:rPr>
        <w:rFonts w:ascii="Symbol" w:hAnsi="Symbol"/>
      </w:rPr>
    </w:lvl>
    <w:lvl w:ilvl="4" w:tplc="6A459609">
      <w:start w:val="1"/>
      <w:numFmt w:val="bullet"/>
      <w:suff w:val="tab"/>
      <w:lvlText w:val="o"/>
      <w:lvlJc w:val="left"/>
      <w:pPr>
        <w:ind w:hanging="360" w:left="3600"/>
      </w:pPr>
      <w:rPr>
        <w:rFonts w:ascii="Courier New" w:hAnsi="Courier New"/>
      </w:rPr>
    </w:lvl>
    <w:lvl w:ilvl="5" w:tplc="14853FCD">
      <w:start w:val="1"/>
      <w:numFmt w:val="bullet"/>
      <w:suff w:val="tab"/>
      <w:lvlText w:val=""/>
      <w:lvlJc w:val="left"/>
      <w:pPr>
        <w:ind w:hanging="360" w:left="4320"/>
      </w:pPr>
      <w:rPr>
        <w:rFonts w:ascii="Wingdings" w:hAnsi="Wingdings"/>
      </w:rPr>
    </w:lvl>
    <w:lvl w:ilvl="6" w:tplc="1161C395">
      <w:start w:val="1"/>
      <w:numFmt w:val="bullet"/>
      <w:suff w:val="tab"/>
      <w:lvlText w:val=""/>
      <w:lvlJc w:val="left"/>
      <w:pPr>
        <w:ind w:hanging="360" w:left="5040"/>
      </w:pPr>
      <w:rPr>
        <w:rFonts w:ascii="Symbol" w:hAnsi="Symbol"/>
      </w:rPr>
    </w:lvl>
    <w:lvl w:ilvl="7" w:tplc="7C889583">
      <w:start w:val="1"/>
      <w:numFmt w:val="bullet"/>
      <w:suff w:val="tab"/>
      <w:lvlText w:val="o"/>
      <w:lvlJc w:val="left"/>
      <w:pPr>
        <w:ind w:hanging="360" w:left="5760"/>
      </w:pPr>
      <w:rPr>
        <w:rFonts w:ascii="Courier New" w:hAnsi="Courier New"/>
      </w:rPr>
    </w:lvl>
    <w:lvl w:ilvl="8" w:tplc="78F1ED86">
      <w:start w:val="1"/>
      <w:numFmt w:val="bullet"/>
      <w:suff w:val="tab"/>
      <w:lvlText w:val=""/>
      <w:lvlJc w:val="left"/>
      <w:pPr>
        <w:ind w:hanging="360" w:left="6480"/>
      </w:pPr>
      <w:rPr>
        <w:rFonts w:ascii="Wingdings" w:hAnsi="Wingdings"/>
      </w:rPr>
    </w:lvl>
  </w:abstractNum>
  <w:abstractNum w:abstractNumId="5">
    <w:nsid w:val="1A172854"/>
    <w:multiLevelType w:val="hybridMultilevel"/>
    <w:lvl w:ilvl="0" w:tplc="765001FC">
      <w:start w:val="1"/>
      <w:numFmt w:val="bullet"/>
      <w:suff w:val="tab"/>
      <w:lvlText w:val=""/>
      <w:lvlJc w:val="left"/>
      <w:pPr>
        <w:ind w:hanging="360" w:left="720"/>
        <w:tabs>
          <w:tab w:val="left" w:pos="720" w:leader="none"/>
        </w:tabs>
      </w:pPr>
      <w:rPr>
        <w:rFonts w:ascii="Symbol" w:hAnsi="Symbol"/>
      </w:rPr>
    </w:lvl>
    <w:lvl w:ilvl="1" w:tplc="71A61200">
      <w:start w:val="1"/>
      <w:numFmt w:val="bullet"/>
      <w:suff w:val="tab"/>
      <w:lvlText w:val="o"/>
      <w:lvlJc w:val="left"/>
      <w:pPr>
        <w:ind w:hanging="360" w:left="1440"/>
        <w:tabs>
          <w:tab w:val="left" w:pos="1440" w:leader="none"/>
        </w:tabs>
      </w:pPr>
      <w:rPr>
        <w:rFonts w:ascii="Courier New" w:hAnsi="Courier New"/>
      </w:rPr>
    </w:lvl>
    <w:lvl w:ilvl="2" w:tplc="7D5C57DA">
      <w:start w:val="1"/>
      <w:numFmt w:val="bullet"/>
      <w:suff w:val="tab"/>
      <w:lvlText w:val=""/>
      <w:lvlJc w:val="left"/>
      <w:pPr>
        <w:ind w:hanging="360" w:left="2160"/>
        <w:tabs>
          <w:tab w:val="left" w:pos="2160" w:leader="none"/>
        </w:tabs>
      </w:pPr>
      <w:rPr>
        <w:rFonts w:ascii="Wingdings" w:hAnsi="Wingdings"/>
      </w:rPr>
    </w:lvl>
    <w:lvl w:ilvl="3" w:tplc="67902DE9">
      <w:start w:val="1"/>
      <w:numFmt w:val="bullet"/>
      <w:suff w:val="tab"/>
      <w:lvlText w:val=""/>
      <w:lvlJc w:val="left"/>
      <w:pPr>
        <w:ind w:hanging="360" w:left="2880"/>
        <w:tabs>
          <w:tab w:val="left" w:pos="2880" w:leader="none"/>
        </w:tabs>
      </w:pPr>
      <w:rPr>
        <w:rFonts w:ascii="Symbol" w:hAnsi="Symbol"/>
      </w:rPr>
    </w:lvl>
    <w:lvl w:ilvl="4" w:tplc="76C2BFE8">
      <w:start w:val="1"/>
      <w:numFmt w:val="bullet"/>
      <w:suff w:val="tab"/>
      <w:lvlText w:val="o"/>
      <w:lvlJc w:val="left"/>
      <w:pPr>
        <w:ind w:hanging="360" w:left="3600"/>
        <w:tabs>
          <w:tab w:val="left" w:pos="3600" w:leader="none"/>
        </w:tabs>
      </w:pPr>
      <w:rPr>
        <w:rFonts w:ascii="Courier New" w:hAnsi="Courier New"/>
      </w:rPr>
    </w:lvl>
    <w:lvl w:ilvl="5" w:tplc="30FB0A55">
      <w:start w:val="1"/>
      <w:numFmt w:val="bullet"/>
      <w:suff w:val="tab"/>
      <w:lvlText w:val=""/>
      <w:lvlJc w:val="left"/>
      <w:pPr>
        <w:ind w:hanging="360" w:left="4320"/>
        <w:tabs>
          <w:tab w:val="left" w:pos="4320" w:leader="none"/>
        </w:tabs>
      </w:pPr>
      <w:rPr>
        <w:rFonts w:ascii="Wingdings" w:hAnsi="Wingdings"/>
      </w:rPr>
    </w:lvl>
    <w:lvl w:ilvl="6" w:tplc="6AB53162">
      <w:start w:val="1"/>
      <w:numFmt w:val="bullet"/>
      <w:suff w:val="tab"/>
      <w:lvlText w:val=""/>
      <w:lvlJc w:val="left"/>
      <w:pPr>
        <w:ind w:hanging="360" w:left="5040"/>
        <w:tabs>
          <w:tab w:val="left" w:pos="5040" w:leader="none"/>
        </w:tabs>
      </w:pPr>
      <w:rPr>
        <w:rFonts w:ascii="Symbol" w:hAnsi="Symbol"/>
      </w:rPr>
    </w:lvl>
    <w:lvl w:ilvl="7" w:tplc="1F0F5967">
      <w:start w:val="1"/>
      <w:numFmt w:val="bullet"/>
      <w:suff w:val="tab"/>
      <w:lvlText w:val="o"/>
      <w:lvlJc w:val="left"/>
      <w:pPr>
        <w:ind w:hanging="360" w:left="5760"/>
        <w:tabs>
          <w:tab w:val="left" w:pos="5760" w:leader="none"/>
        </w:tabs>
      </w:pPr>
      <w:rPr>
        <w:rFonts w:ascii="Courier New" w:hAnsi="Courier New"/>
      </w:rPr>
    </w:lvl>
    <w:lvl w:ilvl="8" w:tplc="7CEAB507">
      <w:start w:val="1"/>
      <w:numFmt w:val="bullet"/>
      <w:suff w:val="tab"/>
      <w:lvlText w:val=""/>
      <w:lvlJc w:val="left"/>
      <w:pPr>
        <w:ind w:hanging="360" w:left="6480"/>
        <w:tabs>
          <w:tab w:val="left" w:pos="6480" w:leader="none"/>
        </w:tabs>
      </w:pPr>
      <w:rPr>
        <w:rFonts w:ascii="Wingdings" w:hAnsi="Wingdings"/>
      </w:rPr>
    </w:lvl>
  </w:abstractNum>
  <w:abstractNum w:abstractNumId="6">
    <w:nsid w:val="1DAA2A7D"/>
    <w:multiLevelType w:val="multilevel"/>
    <w:lvl w:ilvl="0">
      <w:start w:val="3"/>
      <w:numFmt w:val="decimal"/>
      <w:suff w:val="tab"/>
      <w:lvlText w:val="%1"/>
      <w:lvlJc w:val="left"/>
      <w:pPr>
        <w:ind w:hanging="465" w:left="465"/>
        <w:tabs>
          <w:tab w:val="left" w:pos="465" w:leader="none"/>
        </w:tabs>
      </w:pPr>
      <w:rPr/>
    </w:lvl>
    <w:lvl w:ilvl="1">
      <w:start w:val="16"/>
      <w:numFmt w:val="decimal"/>
      <w:suff w:val="tab"/>
      <w:lvlText w:val="%1.%2"/>
      <w:lvlJc w:val="left"/>
      <w:pPr>
        <w:ind w:hanging="465" w:left="465"/>
        <w:tabs>
          <w:tab w:val="left" w:pos="465"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1481AA6"/>
    <w:multiLevelType w:val="hybridMultilevel"/>
    <w:lvl w:ilvl="0" w:tplc="67C25E82">
      <w:start w:val="1"/>
      <w:numFmt w:val="bullet"/>
      <w:suff w:val="tab"/>
      <w:lvlText w:val=""/>
      <w:lvlJc w:val="left"/>
      <w:pPr>
        <w:ind w:hanging="360" w:left="720"/>
        <w:tabs>
          <w:tab w:val="left" w:pos="720" w:leader="none"/>
        </w:tabs>
      </w:pPr>
      <w:rPr>
        <w:rFonts w:ascii="Symbol" w:hAnsi="Symbol"/>
        <w:sz w:val="20"/>
      </w:rPr>
    </w:lvl>
    <w:lvl w:ilvl="1" w:tplc="330A623A">
      <w:start w:val="1"/>
      <w:numFmt w:val="bullet"/>
      <w:suff w:val="tab"/>
      <w:lvlText w:val="o"/>
      <w:lvlJc w:val="left"/>
      <w:pPr>
        <w:ind w:hanging="360" w:left="1440"/>
        <w:tabs>
          <w:tab w:val="left" w:pos="1440" w:leader="none"/>
        </w:tabs>
      </w:pPr>
      <w:rPr>
        <w:rFonts w:ascii="Courier New" w:hAnsi="Courier New"/>
        <w:sz w:val="20"/>
      </w:rPr>
    </w:lvl>
    <w:lvl w:ilvl="2" w:tplc="3CB71623">
      <w:start w:val="1"/>
      <w:numFmt w:val="bullet"/>
      <w:suff w:val="tab"/>
      <w:lvlText w:val=""/>
      <w:lvlJc w:val="left"/>
      <w:pPr>
        <w:ind w:hanging="360" w:left="2160"/>
        <w:tabs>
          <w:tab w:val="left" w:pos="2160" w:leader="none"/>
        </w:tabs>
      </w:pPr>
      <w:rPr>
        <w:rFonts w:ascii="Wingdings" w:hAnsi="Wingdings"/>
        <w:sz w:val="20"/>
      </w:rPr>
    </w:lvl>
    <w:lvl w:ilvl="3" w:tplc="381747A9">
      <w:start w:val="1"/>
      <w:numFmt w:val="bullet"/>
      <w:suff w:val="tab"/>
      <w:lvlText w:val=""/>
      <w:lvlJc w:val="left"/>
      <w:pPr>
        <w:ind w:hanging="360" w:left="2880"/>
        <w:tabs>
          <w:tab w:val="left" w:pos="2880" w:leader="none"/>
        </w:tabs>
      </w:pPr>
      <w:rPr>
        <w:rFonts w:ascii="Wingdings" w:hAnsi="Wingdings"/>
        <w:sz w:val="20"/>
      </w:rPr>
    </w:lvl>
    <w:lvl w:ilvl="4" w:tplc="481331BB">
      <w:start w:val="1"/>
      <w:numFmt w:val="bullet"/>
      <w:suff w:val="tab"/>
      <w:lvlText w:val=""/>
      <w:lvlJc w:val="left"/>
      <w:pPr>
        <w:ind w:hanging="360" w:left="3600"/>
        <w:tabs>
          <w:tab w:val="left" w:pos="3600" w:leader="none"/>
        </w:tabs>
      </w:pPr>
      <w:rPr>
        <w:rFonts w:ascii="Wingdings" w:hAnsi="Wingdings"/>
        <w:sz w:val="20"/>
      </w:rPr>
    </w:lvl>
    <w:lvl w:ilvl="5" w:tplc="1AABE695">
      <w:start w:val="1"/>
      <w:numFmt w:val="bullet"/>
      <w:suff w:val="tab"/>
      <w:lvlText w:val=""/>
      <w:lvlJc w:val="left"/>
      <w:pPr>
        <w:ind w:hanging="360" w:left="4320"/>
        <w:tabs>
          <w:tab w:val="left" w:pos="4320" w:leader="none"/>
        </w:tabs>
      </w:pPr>
      <w:rPr>
        <w:rFonts w:ascii="Wingdings" w:hAnsi="Wingdings"/>
        <w:sz w:val="20"/>
      </w:rPr>
    </w:lvl>
    <w:lvl w:ilvl="6" w:tplc="09476EC0">
      <w:start w:val="1"/>
      <w:numFmt w:val="bullet"/>
      <w:suff w:val="tab"/>
      <w:lvlText w:val=""/>
      <w:lvlJc w:val="left"/>
      <w:pPr>
        <w:ind w:hanging="360" w:left="5040"/>
        <w:tabs>
          <w:tab w:val="left" w:pos="5040" w:leader="none"/>
        </w:tabs>
      </w:pPr>
      <w:rPr>
        <w:rFonts w:ascii="Wingdings" w:hAnsi="Wingdings"/>
        <w:sz w:val="20"/>
      </w:rPr>
    </w:lvl>
    <w:lvl w:ilvl="7" w:tplc="5486BECA">
      <w:start w:val="1"/>
      <w:numFmt w:val="bullet"/>
      <w:suff w:val="tab"/>
      <w:lvlText w:val=""/>
      <w:lvlJc w:val="left"/>
      <w:pPr>
        <w:ind w:hanging="360" w:left="5760"/>
        <w:tabs>
          <w:tab w:val="left" w:pos="5760" w:leader="none"/>
        </w:tabs>
      </w:pPr>
      <w:rPr>
        <w:rFonts w:ascii="Wingdings" w:hAnsi="Wingdings"/>
        <w:sz w:val="20"/>
      </w:rPr>
    </w:lvl>
    <w:lvl w:ilvl="8" w:tplc="02365A98">
      <w:start w:val="1"/>
      <w:numFmt w:val="bullet"/>
      <w:suff w:val="tab"/>
      <w:lvlText w:val=""/>
      <w:lvlJc w:val="left"/>
      <w:pPr>
        <w:ind w:hanging="360" w:left="6480"/>
        <w:tabs>
          <w:tab w:val="left" w:pos="6480" w:leader="none"/>
        </w:tabs>
      </w:pPr>
      <w:rPr>
        <w:rFonts w:ascii="Wingdings" w:hAnsi="Wingdings"/>
        <w:sz w:val="20"/>
      </w:rPr>
    </w:lvl>
  </w:abstractNum>
  <w:abstractNum w:abstractNumId="12">
    <w:nsid w:val="4C5D545B"/>
    <w:multiLevelType w:val="multilevel"/>
    <w:lvl w:ilvl="0">
      <w:start w:val="1"/>
      <w:numFmt w:val="decimal"/>
      <w:suff w:val="tab"/>
      <w:lvlText w:val="%1"/>
      <w:lvlJc w:val="left"/>
      <w:pPr>
        <w:ind w:hanging="720" w:left="720"/>
        <w:tabs>
          <w:tab w:val="left" w:pos="720" w:leader="none"/>
        </w:tabs>
      </w:pPr>
      <w:rPr/>
    </w:lvl>
    <w:lvl w:ilvl="1">
      <w:start w:val="1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3">
    <w:nsid w:val="4DE62349"/>
    <w:multiLevelType w:val="multilevel"/>
    <w:lvl w:ilvl="0">
      <w:start w:val="3"/>
      <w:numFmt w:val="decimal"/>
      <w:suff w:val="tab"/>
      <w:lvlText w:val="%1"/>
      <w:lvlJc w:val="left"/>
      <w:pPr>
        <w:ind w:hanging="720" w:left="720"/>
        <w:tabs>
          <w:tab w:val="left" w:pos="720" w:leader="none"/>
        </w:tabs>
      </w:pPr>
      <w:rPr/>
    </w:lvl>
    <w:lvl w:ilvl="1">
      <w:start w:val="1"/>
      <w:numFmt w:val="decimal"/>
      <w:suff w:val="tab"/>
      <w:lvlText w:val="%1.%2"/>
      <w:lvlJc w:val="left"/>
      <w:pPr>
        <w:ind w:hanging="720" w:left="810"/>
        <w:tabs>
          <w:tab w:val="left" w:pos="81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C753F24"/>
    <w:multiLevelType w:val="hybridMultilevel"/>
    <w:lvl w:ilvl="0" w:tplc="54FE0B97">
      <w:start w:val="1"/>
      <w:numFmt w:val="bullet"/>
      <w:suff w:val="tab"/>
      <w:lvlText w:val=""/>
      <w:lvlJc w:val="left"/>
      <w:pPr>
        <w:ind w:hanging="360" w:left="720"/>
      </w:pPr>
      <w:rPr>
        <w:rFonts w:ascii="Symbol" w:hAnsi="Symbol"/>
      </w:rPr>
    </w:lvl>
    <w:lvl w:ilvl="1" w:tplc="5F0C6D1B">
      <w:start w:val="1"/>
      <w:numFmt w:val="bullet"/>
      <w:suff w:val="tab"/>
      <w:lvlText w:val="o"/>
      <w:lvlJc w:val="left"/>
      <w:pPr>
        <w:ind w:hanging="360" w:left="1440"/>
      </w:pPr>
      <w:rPr>
        <w:rFonts w:ascii="Courier New" w:hAnsi="Courier New"/>
      </w:rPr>
    </w:lvl>
    <w:lvl w:ilvl="2" w:tplc="197568F5">
      <w:start w:val="1"/>
      <w:numFmt w:val="bullet"/>
      <w:suff w:val="tab"/>
      <w:lvlText w:val=""/>
      <w:lvlJc w:val="left"/>
      <w:pPr>
        <w:ind w:hanging="360" w:left="2160"/>
      </w:pPr>
      <w:rPr>
        <w:rFonts w:ascii="Wingdings" w:hAnsi="Wingdings"/>
      </w:rPr>
    </w:lvl>
    <w:lvl w:ilvl="3" w:tplc="2320CB3E">
      <w:start w:val="1"/>
      <w:numFmt w:val="bullet"/>
      <w:suff w:val="tab"/>
      <w:lvlText w:val=""/>
      <w:lvlJc w:val="left"/>
      <w:pPr>
        <w:ind w:hanging="360" w:left="2880"/>
      </w:pPr>
      <w:rPr>
        <w:rFonts w:ascii="Symbol" w:hAnsi="Symbol"/>
      </w:rPr>
    </w:lvl>
    <w:lvl w:ilvl="4" w:tplc="01973435">
      <w:start w:val="1"/>
      <w:numFmt w:val="bullet"/>
      <w:suff w:val="tab"/>
      <w:lvlText w:val="o"/>
      <w:lvlJc w:val="left"/>
      <w:pPr>
        <w:ind w:hanging="360" w:left="3600"/>
      </w:pPr>
      <w:rPr>
        <w:rFonts w:ascii="Courier New" w:hAnsi="Courier New"/>
      </w:rPr>
    </w:lvl>
    <w:lvl w:ilvl="5" w:tplc="7F2E9D8A">
      <w:start w:val="1"/>
      <w:numFmt w:val="bullet"/>
      <w:suff w:val="tab"/>
      <w:lvlText w:val=""/>
      <w:lvlJc w:val="left"/>
      <w:pPr>
        <w:ind w:hanging="360" w:left="4320"/>
      </w:pPr>
      <w:rPr>
        <w:rFonts w:ascii="Wingdings" w:hAnsi="Wingdings"/>
      </w:rPr>
    </w:lvl>
    <w:lvl w:ilvl="6" w:tplc="0A94EF00">
      <w:start w:val="1"/>
      <w:numFmt w:val="bullet"/>
      <w:suff w:val="tab"/>
      <w:lvlText w:val=""/>
      <w:lvlJc w:val="left"/>
      <w:pPr>
        <w:ind w:hanging="360" w:left="5040"/>
      </w:pPr>
      <w:rPr>
        <w:rFonts w:ascii="Symbol" w:hAnsi="Symbol"/>
      </w:rPr>
    </w:lvl>
    <w:lvl w:ilvl="7" w:tplc="74323A1B">
      <w:start w:val="1"/>
      <w:numFmt w:val="bullet"/>
      <w:suff w:val="tab"/>
      <w:lvlText w:val="o"/>
      <w:lvlJc w:val="left"/>
      <w:pPr>
        <w:ind w:hanging="360" w:left="5760"/>
      </w:pPr>
      <w:rPr>
        <w:rFonts w:ascii="Courier New" w:hAnsi="Courier New"/>
      </w:rPr>
    </w:lvl>
    <w:lvl w:ilvl="8" w:tplc="701A79CF">
      <w:start w:val="1"/>
      <w:numFmt w:val="bullet"/>
      <w:suff w:val="tab"/>
      <w:lvlText w:val=""/>
      <w:lvlJc w:val="left"/>
      <w:pPr>
        <w:ind w:hanging="360" w:left="6480"/>
      </w:pPr>
      <w:rPr>
        <w:rFonts w:ascii="Wingdings" w:hAnsi="Wingdings"/>
      </w:rPr>
    </w:lvl>
  </w:abstractNum>
  <w:abstractNum w:abstractNumId="17">
    <w:nsid w:val="71E93C76"/>
    <w:multiLevelType w:val="hybridMultilevel"/>
    <w:lvl w:ilvl="0" w:tplc="16156103">
      <w:start w:val="1"/>
      <w:numFmt w:val="bullet"/>
      <w:suff w:val="tab"/>
      <w:lvlText w:val=""/>
      <w:lvlJc w:val="left"/>
      <w:pPr>
        <w:ind w:hanging="360" w:left="5766"/>
      </w:pPr>
      <w:rPr>
        <w:rFonts w:ascii="Symbol" w:hAnsi="Symbol"/>
      </w:rPr>
    </w:lvl>
    <w:lvl w:ilvl="1" w:tplc="13120263">
      <w:start w:val="1"/>
      <w:numFmt w:val="bullet"/>
      <w:suff w:val="tab"/>
      <w:lvlText w:val="o"/>
      <w:lvlJc w:val="left"/>
      <w:pPr>
        <w:ind w:hanging="360" w:left="6486"/>
      </w:pPr>
      <w:rPr>
        <w:rFonts w:ascii="Courier New" w:hAnsi="Courier New"/>
      </w:rPr>
    </w:lvl>
    <w:lvl w:ilvl="2" w:tplc="78F454F6">
      <w:start w:val="1"/>
      <w:numFmt w:val="bullet"/>
      <w:suff w:val="tab"/>
      <w:lvlText w:val=""/>
      <w:lvlJc w:val="left"/>
      <w:pPr>
        <w:ind w:hanging="360" w:left="7206"/>
      </w:pPr>
      <w:rPr>
        <w:rFonts w:ascii="Wingdings" w:hAnsi="Wingdings"/>
      </w:rPr>
    </w:lvl>
    <w:lvl w:ilvl="3" w:tplc="6EDC2AE5">
      <w:start w:val="1"/>
      <w:numFmt w:val="bullet"/>
      <w:suff w:val="tab"/>
      <w:lvlText w:val=""/>
      <w:lvlJc w:val="left"/>
      <w:pPr>
        <w:ind w:hanging="360" w:left="7926"/>
      </w:pPr>
      <w:rPr>
        <w:rFonts w:ascii="Symbol" w:hAnsi="Symbol"/>
      </w:rPr>
    </w:lvl>
    <w:lvl w:ilvl="4" w:tplc="06B0D747">
      <w:start w:val="1"/>
      <w:numFmt w:val="bullet"/>
      <w:suff w:val="tab"/>
      <w:lvlText w:val="o"/>
      <w:lvlJc w:val="left"/>
      <w:pPr>
        <w:ind w:hanging="360" w:left="8646"/>
      </w:pPr>
      <w:rPr>
        <w:rFonts w:ascii="Courier New" w:hAnsi="Courier New"/>
      </w:rPr>
    </w:lvl>
    <w:lvl w:ilvl="5" w:tplc="11256C28">
      <w:start w:val="1"/>
      <w:numFmt w:val="bullet"/>
      <w:suff w:val="tab"/>
      <w:lvlText w:val=""/>
      <w:lvlJc w:val="left"/>
      <w:pPr>
        <w:ind w:hanging="360" w:left="9366"/>
      </w:pPr>
      <w:rPr>
        <w:rFonts w:ascii="Wingdings" w:hAnsi="Wingdings"/>
      </w:rPr>
    </w:lvl>
    <w:lvl w:ilvl="6" w:tplc="7A12730D">
      <w:start w:val="1"/>
      <w:numFmt w:val="bullet"/>
      <w:suff w:val="tab"/>
      <w:lvlText w:val=""/>
      <w:lvlJc w:val="left"/>
      <w:pPr>
        <w:ind w:hanging="360" w:left="10086"/>
      </w:pPr>
      <w:rPr>
        <w:rFonts w:ascii="Symbol" w:hAnsi="Symbol"/>
      </w:rPr>
    </w:lvl>
    <w:lvl w:ilvl="7" w:tplc="3A2E1B27">
      <w:start w:val="1"/>
      <w:numFmt w:val="bullet"/>
      <w:suff w:val="tab"/>
      <w:lvlText w:val="o"/>
      <w:lvlJc w:val="left"/>
      <w:pPr>
        <w:ind w:hanging="360" w:left="10806"/>
      </w:pPr>
      <w:rPr>
        <w:rFonts w:ascii="Courier New" w:hAnsi="Courier New"/>
      </w:rPr>
    </w:lvl>
    <w:lvl w:ilvl="8" w:tplc="784BDCA7">
      <w:start w:val="1"/>
      <w:numFmt w:val="bullet"/>
      <w:suff w:val="tab"/>
      <w:lvlText w:val=""/>
      <w:lvlJc w:val="left"/>
      <w:pPr>
        <w:ind w:hanging="360" w:left="11526"/>
      </w:pPr>
      <w:rPr>
        <w:rFonts w:ascii="Wingdings" w:hAnsi="Wingdings"/>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8"/>
  </w:num>
  <w:num w:numId="5">
    <w:abstractNumId w:val="15"/>
  </w:num>
  <w:num w:numId="6">
    <w:abstractNumId w:val="7"/>
  </w:num>
  <w:num w:numId="7">
    <w:abstractNumId w:val="10"/>
  </w:num>
  <w:num w:numId="8">
    <w:abstractNumId w:val="2"/>
  </w:num>
  <w:num w:numId="9">
    <w:abstractNumId w:val="18"/>
  </w:num>
  <w:num w:numId="10">
    <w:abstractNumId w:val="9"/>
  </w:num>
  <w:num w:numId="11">
    <w:abstractNumId w:val="12"/>
  </w:num>
  <w:num w:numId="12">
    <w:abstractNumId w:val="13"/>
  </w:num>
  <w:num w:numId="13">
    <w:abstractNumId w:val="3"/>
  </w:num>
  <w:num w:numId="14">
    <w:abstractNumId w:val="6"/>
  </w:num>
  <w:num w:numId="15">
    <w:abstractNumId w:val="1"/>
  </w:num>
  <w:num w:numId="16">
    <w:abstractNumId w:val="14"/>
  </w:num>
  <w:num w:numId="17">
    <w:abstractNumId w:val="16"/>
  </w:num>
  <w:num w:numId="18">
    <w:abstractNumId w:val="4"/>
  </w:num>
  <w:num w:numId="19">
    <w:abstractNumId w:val="11"/>
  </w:num>
  <w:num w:numId="20">
    <w:abstractNumId w:val="5"/>
  </w:num>
  <w:num w:numId="21">
    <w:abstractNumId w:val="1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Plain Text"/>
    <w:basedOn w:val="P0"/>
    <w:next w:val="P22"/>
    <w:link w:val="C10"/>
    <w:pPr/>
    <w:rPr>
      <w:rFonts w:ascii="Courier New" w:hAnsi="Courier New"/>
      <w:sz w:val="20"/>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FollowedHyperlink"/>
    <w:rPr>
      <w:color w:val="800080"/>
      <w:u w:val="single"/>
    </w:rPr>
  </w:style>
  <w:style w:type="character" w:styleId="C9">
    <w:name w:val="Comment Text Char"/>
    <w:link w:val="P6"/>
    <w:rPr>
      <w:rFonts w:ascii="Arial" w:hAnsi="Arial"/>
    </w:rPr>
  </w:style>
  <w:style w:type="character" w:styleId="C10">
    <w:name w:val="Plain Text Char"/>
    <w:link w:val="P22"/>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2017-04-04T15:29:00Z</dcterms:created>
  <cp:lastModifiedBy>Ray</cp:lastModifiedBy>
  <cp:lastPrinted>2015-10-06T15:19:00Z</cp:lastPrinted>
  <dcterms:modified xsi:type="dcterms:W3CDTF">2022-10-04T19:38:50Z</dcterms:modified>
  <cp:revision>3</cp:revision>
  <dc:title>01425_Computerized_Maintenance_Management_System_Data_Requirements (Dec 17,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NewReviewCycle">
    <vt:lpwstr/>
  </property>
  <property fmtid="{D5CDD505-2E9C-101B-9397-08002B2CF9AE}" pid="4" name="Sort Order">
    <vt:lpwstr/>
  </property>
  <property fmtid="{D5CDD505-2E9C-101B-9397-08002B2CF9AE}" pid="5" name="Last Updated">
    <vt:lpwstr>2017-04-04T00:00:00Z</vt:lpwstr>
  </property>
  <property fmtid="{D5CDD505-2E9C-101B-9397-08002B2CF9AE}" pid="6" name="_dlc_DocId">
    <vt:lpwstr>ENVCPD-83-1056</vt:lpwstr>
  </property>
  <property fmtid="{D5CDD505-2E9C-101B-9397-08002B2CF9AE}" pid="7" name="_dlc_DocIdItemGuid">
    <vt:lpwstr>71cb5b41-fdef-45c5-94d3-c5666dd2cd1c</vt:lpwstr>
  </property>
  <property fmtid="{D5CDD505-2E9C-101B-9397-08002B2CF9AE}" pid="8" name="_dlc_DocIdUrl">
    <vt:lpwstr>https://mycloud.york.ca/projects/EnvServProgramDeliveryOffice/ProjectServer/AEL/_layouts/DocIdRedir.aspx?ID=ENVCPD-83-1056, ENVCPD-83-1056</vt:lpwstr>
  </property>
</Properties>
</file>