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7E2D1C6" Type="http://schemas.openxmlformats.org/officeDocument/2006/relationships/officeDocument" Target="word/document.xml"/><Relationship Id="coreR57E2D1C6" Type="http://schemas.openxmlformats.org/package/2006/relationships/metadata/core-properties" Target="docProps/core.xml"/><Relationship Id="customR57E2D1C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b w:val="1"/>
                <w:sz w:val="22"/>
              </w:rPr>
            </w:pPr>
            <w:r>
              <w:rPr>
                <w:rFonts w:ascii="Calibri" w:hAnsi="Calibri"/>
                <w:b w:val="0"/>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b w:val="1"/>
                <w:sz w:val="22"/>
              </w:rPr>
            </w:pPr>
            <w:r>
              <w:rPr>
                <w:rFonts w:ascii="Calibri" w:hAnsi="Calibri"/>
                <w:b w:val="0"/>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b w:val="1"/>
                <w:sz w:val="22"/>
              </w:rPr>
            </w:pPr>
            <w:r>
              <w:rPr>
                <w:rFonts w:ascii="Calibri" w:hAnsi="Calibri"/>
                <w:b w:val="0"/>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December 29,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‘Related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September 28, 2010</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Minor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10,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Addition of References and Replacement Parts sections on this page.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July 6,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Change tab settings for page 1-5.</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10,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December 16,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 xml:space="preserve">Minor clarifications based on comments by Legal.  AAM Moved portions of spec pertaining to As-Built Drawings to Section 01450 </w:t>
            </w:r>
            <w:r>
              <w:t xml:space="preserve">– </w:t>
            </w:r>
            <w:r>
              <w:rPr>
                <w:rFonts w:ascii="Calibri" w:hAnsi="Calibri"/>
                <w:sz w:val="22"/>
              </w:rPr>
              <w:t>As-Built Drawings.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tabs>
                <w:tab w:val="left" w:pos="735" w:leader="none"/>
              </w:tabs>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January 25, 2016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Integration of Section with 01740- Cleaning</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tabs>
                <w:tab w:val="left" w:pos="735" w:leader="none"/>
              </w:tabs>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r>
              <w:rPr>
                <w:rFonts w:ascii="Calibri" w:hAnsi="Calibri"/>
                <w:sz w:val="22"/>
              </w:rPr>
              <w:t>January 20, 2020</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r>
              <w:rPr>
                <w:rFonts w:ascii="Calibri" w:hAnsi="Calibri"/>
                <w:sz w:val="22"/>
              </w:rPr>
              <w:t>Replaced Record Drawings with As-Built Drawings (BM)</w:t>
            </w:r>
          </w:p>
        </w:tc>
      </w:tr>
    </w:tbl>
    <w:p>
      <w:pPr>
        <w:pStyle w:val="P4"/>
        <w:rPr>
          <w:rFonts w:ascii="Calibri" w:hAnsi="Calibri"/>
        </w:r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
        <w:ind w:left="720"/>
        <w:rPr>
          <w:rFonts w:ascii="Calibri" w:hAnsi="Calibri"/>
          <w:u w:val="single"/>
        </w:rPr>
      </w:pPr>
    </w:p>
    <w:p>
      <w:pPr>
        <w:pStyle w:val="P4"/>
        <w:ind w:left="720"/>
        <w:rPr>
          <w:rFonts w:ascii="Calibri" w:hAnsi="Calibri"/>
          <w:u w:val="single"/>
        </w:rPr>
      </w:pPr>
    </w:p>
    <w:p>
      <w:pPr>
        <w:pStyle w:val="P31"/>
      </w:pPr>
      <w:r>
        <w:br w:type="page"/>
        <w:t>GEneral</w:t>
      </w:r>
    </w:p>
    <w:p>
      <w:pPr>
        <w:pStyle w:val="P32"/>
      </w:pPr>
      <w:r>
        <w:t>Related Sections</w:t>
      </w:r>
    </w:p>
    <w:p>
      <w:pPr>
        <w:pStyle w:val="P33"/>
        <w:numPr>
          <w:ilvl w:val="2"/>
          <w:numId w:val="0"/>
        </w:numPr>
        <w:ind w:left="698"/>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3"/>
        <w:numPr>
          <w:ilvl w:val="2"/>
          <w:numId w:val="0"/>
        </w:numPr>
        <w:ind w:left="698"/>
        <w:rPr>
          <w:i w:val="1"/>
          <w:highlight w:val="yellow"/>
        </w:rPr>
      </w:pPr>
    </w:p>
    <w:p>
      <w:pPr>
        <w:pStyle w:val="P33"/>
        <w:numPr>
          <w:ilvl w:val="2"/>
          <w:numId w:val="0"/>
        </w:numPr>
        <w:ind w:left="698"/>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3"/>
        <w:numPr>
          <w:ilvl w:val="2"/>
          <w:numId w:val="0"/>
        </w:numPr>
        <w:ind w:left="698"/>
        <w:rPr>
          <w:i w:val="1"/>
          <w:highlight w:val="yellow"/>
        </w:rPr>
      </w:pPr>
    </w:p>
    <w:p>
      <w:pPr>
        <w:pStyle w:val="P33"/>
        <w:numPr>
          <w:ilvl w:val="2"/>
          <w:numId w:val="0"/>
        </w:numPr>
        <w:ind w:left="698"/>
        <w:rPr>
          <w:i w:val="1"/>
          <w:highlight w:val="yellow"/>
        </w:rPr>
      </w:pPr>
      <w:r>
        <w:rPr>
          <w:i w:val="1"/>
          <w:highlight w:val="yellow"/>
        </w:rPr>
        <w:t>Contractor is responsible for coordination of the Work.</w:t>
      </w:r>
    </w:p>
    <w:p>
      <w:pPr>
        <w:pStyle w:val="P33"/>
        <w:numPr>
          <w:ilvl w:val="2"/>
          <w:numId w:val="0"/>
        </w:numPr>
        <w:ind w:left="698"/>
        <w:rPr>
          <w:i w:val="1"/>
          <w:highlight w:val="yellow"/>
        </w:rPr>
      </w:pPr>
    </w:p>
    <w:p>
      <w:pPr>
        <w:pStyle w:val="P33"/>
        <w:numPr>
          <w:ilvl w:val="2"/>
          <w:numId w:val="0"/>
        </w:numPr>
        <w:ind w:left="698"/>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3"/>
        <w:numPr>
          <w:ilvl w:val="2"/>
          <w:numId w:val="0"/>
        </w:numPr>
        <w:ind w:left="698"/>
        <w:rPr>
          <w:i w:val="1"/>
          <w:highlight w:val="yellow"/>
        </w:rPr>
      </w:pPr>
    </w:p>
    <w:p>
      <w:pPr>
        <w:pStyle w:val="P33"/>
        <w:numPr>
          <w:ilvl w:val="2"/>
          <w:numId w:val="0"/>
        </w:numPr>
        <w:ind w:left="698"/>
        <w:rPr>
          <w:i w:val="1"/>
          <w:highlight w:val="yellow"/>
        </w:rPr>
      </w:pPr>
      <w:r>
        <w:rPr>
          <w:i w:val="1"/>
          <w:highlight w:val="yellow"/>
        </w:rPr>
        <w:t>[List Sections specifying related requirements.]</w:t>
      </w:r>
    </w:p>
    <w:p>
      <w:pPr>
        <w:pStyle w:val="P33"/>
        <w:rPr>
          <w:highlight w:val="yellow"/>
        </w:rPr>
      </w:pPr>
      <w:r>
        <w:rPr>
          <w:highlight w:val="yellow"/>
        </w:rPr>
        <w:t xml:space="preserve">Section [______ – ____________]:  </w:t>
      </w:r>
      <w:r>
        <w:rPr>
          <w:i w:val="1"/>
          <w:highlight w:val="yellow"/>
        </w:rPr>
        <w:t>[Optional short phrase indicating relationship].</w:t>
      </w:r>
    </w:p>
    <w:p>
      <w:pPr>
        <w:pStyle w:val="P34"/>
        <w:rPr>
          <w:highlight w:val="yellow"/>
        </w:rPr>
      </w:pPr>
      <w:r>
        <w:rPr>
          <w:highlight w:val="yellow"/>
        </w:rPr>
        <w:t xml:space="preserve">Section 01025 – Measurement and Payment </w:t>
      </w:r>
    </w:p>
    <w:p>
      <w:pPr>
        <w:pStyle w:val="P34"/>
        <w:rPr>
          <w:highlight w:val="yellow"/>
        </w:rPr>
      </w:pPr>
      <w:r>
        <w:rPr>
          <w:highlight w:val="yellow"/>
        </w:rPr>
        <w:t>Section 01040 – Coordination</w:t>
      </w:r>
    </w:p>
    <w:p>
      <w:pPr>
        <w:pStyle w:val="P34"/>
        <w:rPr>
          <w:highlight w:val="yellow"/>
        </w:rPr>
      </w:pPr>
      <w:r>
        <w:rPr>
          <w:highlight w:val="yellow"/>
        </w:rPr>
        <w:t>Section 01300 – Submittals</w:t>
      </w:r>
    </w:p>
    <w:p>
      <w:pPr>
        <w:pStyle w:val="P34"/>
        <w:rPr>
          <w:highlight w:val="yellow"/>
        </w:rPr>
      </w:pPr>
      <w:r>
        <w:rPr>
          <w:highlight w:val="yellow"/>
        </w:rPr>
        <w:t>Section 01400 – Quality Control</w:t>
      </w:r>
    </w:p>
    <w:p>
      <w:pPr>
        <w:pStyle w:val="P34"/>
        <w:rPr>
          <w:highlight w:val="yellow"/>
        </w:rPr>
      </w:pPr>
      <w:r>
        <w:rPr>
          <w:highlight w:val="yellow"/>
        </w:rPr>
        <w:t>Section 01425 – Computerized Maintenance Management System Data Requirements</w:t>
      </w:r>
    </w:p>
    <w:p>
      <w:pPr>
        <w:pStyle w:val="P34"/>
        <w:rPr>
          <w:highlight w:val="yellow"/>
        </w:rPr>
      </w:pPr>
      <w:r>
        <w:rPr>
          <w:highlight w:val="yellow"/>
        </w:rPr>
        <w:t>Section 01430 – Operation and Maintenance Data</w:t>
      </w:r>
    </w:p>
    <w:p>
      <w:pPr>
        <w:pStyle w:val="P34"/>
        <w:rPr>
          <w:highlight w:val="yellow"/>
        </w:rPr>
      </w:pPr>
      <w:r>
        <w:rPr>
          <w:highlight w:val="yellow"/>
        </w:rPr>
        <w:t>Section 01450 – As-Built Drawings</w:t>
      </w:r>
    </w:p>
    <w:p>
      <w:pPr>
        <w:pStyle w:val="P34"/>
        <w:rPr>
          <w:highlight w:val="yellow"/>
        </w:rPr>
      </w:pPr>
      <w:r>
        <w:rPr>
          <w:highlight w:val="yellow"/>
        </w:rPr>
        <w:t>Section 01740 – Cleaning</w:t>
      </w:r>
    </w:p>
    <w:p>
      <w:pPr>
        <w:pStyle w:val="P34"/>
        <w:rPr>
          <w:highlight w:val="yellow"/>
        </w:rPr>
      </w:pPr>
      <w:r>
        <w:rPr>
          <w:highlight w:val="yellow"/>
        </w:rPr>
        <w:t>Section 01760 – Warranty Work</w:t>
      </w:r>
    </w:p>
    <w:p>
      <w:pPr>
        <w:pStyle w:val="P34"/>
        <w:rPr>
          <w:highlight w:val="yellow"/>
        </w:rPr>
      </w:pPr>
      <w:r>
        <w:rPr>
          <w:highlight w:val="yellow"/>
        </w:rPr>
        <w:t>Section 01770 – Closeout Procedures</w:t>
      </w:r>
    </w:p>
    <w:p>
      <w:pPr>
        <w:pStyle w:val="P34"/>
        <w:rPr>
          <w:highlight w:val="yellow"/>
        </w:rPr>
      </w:pPr>
      <w:r>
        <w:rPr>
          <w:highlight w:val="yellow"/>
        </w:rPr>
        <w:t>Section 01810 – Equipment Testing and Facility Commissioning</w:t>
      </w:r>
    </w:p>
    <w:p>
      <w:pPr>
        <w:pStyle w:val="P32"/>
      </w:pPr>
      <w:r>
        <w:t>Measurement and Payment</w:t>
      </w:r>
    </w:p>
    <w:p>
      <w:pPr>
        <w:pStyle w:val="P33"/>
      </w:pPr>
      <w:r>
        <w:t xml:space="preserve">The work outlined in this Section will not be measured separately for payment.  The work outlined in this Section shall be included in the Contract Price.</w:t>
      </w:r>
    </w:p>
    <w:p>
      <w:pPr>
        <w:pStyle w:val="P32"/>
      </w:pPr>
      <w:r>
        <w:t>Description</w:t>
      </w:r>
    </w:p>
    <w:p>
      <w:pPr>
        <w:pStyle w:val="P33"/>
      </w:pPr>
      <w:r>
        <w:t>This section describes required documentation submissions in terms of content, detail and format in order to achieve Contract Closeout and final payment.</w:t>
      </w:r>
    </w:p>
    <w:p>
      <w:pPr>
        <w:pStyle w:val="P33"/>
      </w:pPr>
      <w:r>
        <w:t>Document Submission includes:</w:t>
      </w:r>
    </w:p>
    <w:p>
      <w:pPr>
        <w:pStyle w:val="P34"/>
      </w:pPr>
      <w:r>
        <w:t>As-built, samples, and specifications.</w:t>
      </w:r>
    </w:p>
    <w:p>
      <w:pPr>
        <w:pStyle w:val="P34"/>
      </w:pPr>
      <w:r>
        <w:t>Equipment and systems.</w:t>
      </w:r>
    </w:p>
    <w:p>
      <w:pPr>
        <w:pStyle w:val="P34"/>
      </w:pPr>
      <w:r>
        <w:t>Product data, materials and finishes, and related information.</w:t>
      </w:r>
    </w:p>
    <w:p>
      <w:pPr>
        <w:pStyle w:val="P34"/>
      </w:pPr>
      <w:r>
        <w:t>Operation and maintenance data.</w:t>
      </w:r>
    </w:p>
    <w:p>
      <w:pPr>
        <w:pStyle w:val="P34"/>
      </w:pPr>
      <w:r>
        <w:t>Spare parts, special tools and maintenance materials.</w:t>
      </w:r>
    </w:p>
    <w:p>
      <w:pPr>
        <w:pStyle w:val="P34"/>
      </w:pPr>
      <w:r>
        <w:t>Warranties and bonds.</w:t>
      </w:r>
    </w:p>
    <w:p>
      <w:pPr>
        <w:pStyle w:val="P34"/>
      </w:pPr>
      <w:r>
        <w:t>Final site survey.</w:t>
      </w:r>
    </w:p>
    <w:p>
      <w:pPr>
        <w:pStyle w:val="P32"/>
      </w:pPr>
      <w:r>
        <w:t>Submittals</w:t>
      </w:r>
    </w:p>
    <w:p>
      <w:pPr>
        <w:pStyle w:val="P33"/>
      </w:pPr>
      <w:r>
        <w:t xml:space="preserve">Informational Submittals: </w:t>
      </w:r>
    </w:p>
    <w:p>
      <w:pPr>
        <w:pStyle w:val="P34"/>
      </w:pPr>
      <w:r>
        <w:t>Submit fourteen (14) copies of all final submittals prior to application for final payment, including, but not limited to, the following:</w:t>
      </w:r>
    </w:p>
    <w:p>
      <w:pPr>
        <w:pStyle w:val="P35"/>
        <w:tabs>
          <w:tab w:val="left" w:pos="2835" w:leader="none"/>
          <w:tab w:val="clear" w:pos="5760" w:leader="none"/>
        </w:tabs>
        <w:ind w:left="2835"/>
        <w:rPr>
          <w:rFonts w:ascii="Calibri" w:hAnsi="Calibri"/>
        </w:rPr>
      </w:pPr>
      <w:r>
        <w:rPr>
          <w:rFonts w:ascii="Calibri" w:hAnsi="Calibri"/>
        </w:rPr>
        <w:t>As-Built Documents.</w:t>
      </w:r>
    </w:p>
    <w:p>
      <w:pPr>
        <w:pStyle w:val="P35"/>
        <w:tabs>
          <w:tab w:val="left" w:pos="2835" w:leader="none"/>
          <w:tab w:val="clear" w:pos="5760" w:leader="none"/>
        </w:tabs>
        <w:ind w:left="2835"/>
        <w:rPr>
          <w:rFonts w:ascii="Calibri" w:hAnsi="Calibri"/>
        </w:rPr>
      </w:pPr>
      <w:r>
        <w:rPr>
          <w:rFonts w:ascii="Calibri" w:hAnsi="Calibri"/>
        </w:rPr>
        <w:t xml:space="preserve">All Warranties, all Equipment Manuals, and all Operation and Maintenance Data. </w:t>
      </w:r>
    </w:p>
    <w:p>
      <w:pPr>
        <w:pStyle w:val="P35"/>
        <w:tabs>
          <w:tab w:val="left" w:pos="2835" w:leader="none"/>
          <w:tab w:val="clear" w:pos="5760" w:leader="none"/>
        </w:tabs>
        <w:ind w:left="2835"/>
        <w:rPr>
          <w:rFonts w:ascii="Calibri" w:hAnsi="Calibri"/>
        </w:rPr>
      </w:pPr>
      <w:r>
        <w:rPr>
          <w:rFonts w:ascii="Calibri" w:hAnsi="Calibri"/>
        </w:rPr>
        <w:t>Approved Shop Drawings and Samples.</w:t>
      </w:r>
    </w:p>
    <w:p>
      <w:pPr>
        <w:pStyle w:val="P35"/>
        <w:tabs>
          <w:tab w:val="left" w:pos="2835" w:leader="none"/>
          <w:tab w:val="clear" w:pos="5760" w:leader="none"/>
        </w:tabs>
        <w:ind w:left="2835"/>
        <w:rPr>
          <w:rFonts w:ascii="Calibri" w:hAnsi="Calibri"/>
        </w:rPr>
      </w:pPr>
      <w:r>
        <w:rPr>
          <w:rFonts w:ascii="Calibri" w:hAnsi="Calibri"/>
        </w:rPr>
        <w:t>Special Bonds, Special Warranties, and Service Agreements.</w:t>
      </w:r>
    </w:p>
    <w:p>
      <w:pPr>
        <w:pStyle w:val="P35"/>
        <w:tabs>
          <w:tab w:val="left" w:pos="2835" w:leader="none"/>
          <w:tab w:val="clear" w:pos="5760" w:leader="none"/>
        </w:tabs>
        <w:ind w:left="2835"/>
        <w:rPr>
          <w:rFonts w:ascii="Calibri" w:hAnsi="Calibri"/>
        </w:rPr>
      </w:pPr>
      <w:r>
        <w:rPr>
          <w:rFonts w:ascii="Calibri" w:hAnsi="Calibri"/>
        </w:rPr>
        <w:t>Releases or Waivers of Liens and Claims.</w:t>
      </w:r>
    </w:p>
    <w:p>
      <w:pPr>
        <w:pStyle w:val="P35"/>
        <w:tabs>
          <w:tab w:val="left" w:pos="2835" w:leader="none"/>
          <w:tab w:val="clear" w:pos="5760" w:leader="none"/>
        </w:tabs>
        <w:ind w:left="2835"/>
        <w:rPr>
          <w:rFonts w:ascii="Calibri" w:hAnsi="Calibri"/>
        </w:rPr>
      </w:pPr>
      <w:r>
        <w:rPr>
          <w:rFonts w:ascii="Calibri" w:hAnsi="Calibri"/>
        </w:rPr>
        <w:t>Releases from Agreements with private property owners.</w:t>
      </w:r>
    </w:p>
    <w:p>
      <w:pPr>
        <w:pStyle w:val="P35"/>
        <w:tabs>
          <w:tab w:val="left" w:pos="2835" w:leader="none"/>
          <w:tab w:val="clear" w:pos="5760" w:leader="none"/>
        </w:tabs>
        <w:ind w:left="2835"/>
        <w:rPr>
          <w:rFonts w:ascii="Calibri" w:hAnsi="Calibri"/>
        </w:rPr>
      </w:pPr>
      <w:r>
        <w:rPr>
          <w:rFonts w:ascii="Calibri" w:hAnsi="Calibri"/>
        </w:rPr>
        <w:t xml:space="preserve">Final Application for Payment: Submit in accordance with the procedures and requirements stated in </w:t>
      </w:r>
      <w:r>
        <w:rPr>
          <w:rFonts w:ascii="Calibri" w:hAnsi="Calibri"/>
          <w:highlight w:val="yellow"/>
        </w:rPr>
        <w:t>Section 01025 - Measurement and Payment</w:t>
      </w:r>
      <w:r>
        <w:rPr>
          <w:rFonts w:ascii="Calibri" w:hAnsi="Calibri"/>
        </w:rPr>
        <w:t>.</w:t>
      </w:r>
    </w:p>
    <w:p>
      <w:pPr>
        <w:pStyle w:val="P35"/>
        <w:tabs>
          <w:tab w:val="left" w:pos="2835" w:leader="none"/>
          <w:tab w:val="clear" w:pos="5760" w:leader="none"/>
        </w:tabs>
        <w:ind w:left="2835"/>
        <w:rPr>
          <w:rFonts w:ascii="Calibri" w:hAnsi="Calibri"/>
        </w:rPr>
      </w:pPr>
      <w:r>
        <w:rPr>
          <w:rFonts w:ascii="Calibri" w:hAnsi="Calibri"/>
        </w:rPr>
        <w:t>Spare Parts and Special Tools: As required by the individual Specification Sections.</w:t>
      </w:r>
    </w:p>
    <w:p>
      <w:pPr>
        <w:pStyle w:val="P32"/>
      </w:pPr>
      <w:r>
        <w:t>Releases from Agreements</w:t>
      </w:r>
    </w:p>
    <w:p>
      <w:pPr>
        <w:pStyle w:val="P33"/>
      </w:pPr>
      <w:r>
        <w:t>Provide, the Region with written releases from private property owners or public agencies where side agreements or special easements have been made, or where the Contractor’s operations have not been kept within the Region’s construction right-of-way.</w:t>
      </w:r>
    </w:p>
    <w:p>
      <w:pPr>
        <w:pStyle w:val="P31"/>
      </w:pPr>
      <w:r>
        <w:t>products (not used)</w:t>
      </w:r>
    </w:p>
    <w:p>
      <w:pPr>
        <w:pStyle w:val="P31"/>
      </w:pPr>
      <w:r>
        <w:t>EXECUTION</w:t>
      </w:r>
    </w:p>
    <w:p>
      <w:pPr>
        <w:pStyle w:val="P32"/>
      </w:pPr>
      <w:r>
        <w:t>As-Built Documents</w:t>
      </w:r>
    </w:p>
    <w:p>
      <w:pPr>
        <w:pStyle w:val="P33"/>
      </w:pPr>
      <w:r>
        <w:t xml:space="preserve">Provide final As-Built documents in accordance with </w:t>
      </w:r>
      <w:r>
        <w:rPr>
          <w:highlight w:val="yellow"/>
        </w:rPr>
        <w:t>Section 01450 – As-Built Drawings</w:t>
      </w:r>
      <w:r>
        <w:t>.</w:t>
      </w:r>
    </w:p>
    <w:p>
      <w:pPr>
        <w:pStyle w:val="P32"/>
      </w:pPr>
      <w:r>
        <w:t>Final Cleaning</w:t>
      </w:r>
    </w:p>
    <w:p>
      <w:pPr>
        <w:pStyle w:val="P33"/>
      </w:pPr>
      <w:r>
        <w:t xml:space="preserve">Upon completion of the Work or of a part thereof and immediately prior to the Contractor’s request for a Certificate of Substantial Performance; or if no certificate is issued, immediately prior to the Contractor’s notice of completion, clean the entire Site or parts thereof in accordance with final cleaning as detailed in </w:t>
      </w:r>
      <w:r>
        <w:rPr>
          <w:highlight w:val="yellow"/>
        </w:rPr>
        <w:t>Section 01740 –Cleaning</w:t>
      </w:r>
      <w:r>
        <w:t>.</w:t>
      </w:r>
    </w:p>
    <w:p>
      <w:pPr>
        <w:pStyle w:val="P32"/>
      </w:pPr>
      <w:r>
        <w:t>Relamping</w:t>
      </w:r>
    </w:p>
    <w:p>
      <w:pPr>
        <w:pStyle w:val="P33"/>
      </w:pPr>
      <w:r>
        <w:t>If permanent lighting fixtures and lamps are used during the construction period prior to Substantial Performance of the Work, the Contractor shall supply and install new lamps in the fixtures or turn over any spare lamps to the Region.</w:t>
      </w:r>
    </w:p>
    <w:p>
      <w:pPr>
        <w:pStyle w:val="P33"/>
      </w:pPr>
      <w:r>
        <w:t>Replace fluorescent lamps that have been used but are not working at the time of Substantial Performance of the Work. Supply lamps of an equal lifetime rating to those being replaced.</w:t>
      </w:r>
    </w:p>
    <w:p>
      <w:pPr>
        <w:pStyle w:val="P33"/>
      </w:pPr>
      <w:r>
        <w:t>Replace high intensity discharge (HID) or similar type lamps that fail during the Warranty Period.</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01780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CONTRACT CLOSEOUT</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CONTRACT NO. SSTR4559</w:t>
      <w:tab/>
      <w:t>Section 01780</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Body)" w:hAnsi="Calibri (Body)"/>
        <w:b w:val="1"/>
        <w:sz w:val="22"/>
      </w:rPr>
      <w:tab/>
      <w:t>CONTRACT CLOSEOUT</w:t>
    </w:r>
    <w:r>
      <w:rPr>
        <w:rFonts w:ascii="Calibri (Body)" w:hAnsi="Calibri (Body)"/>
        <w:sz w:val="22"/>
      </w:rPr>
      <w:tab/>
      <w:t>2020-01-20</w:t>
    </w:r>
  </w:p>
  <w:p>
    <w:pPr>
      <w:pBdr>
        <w:top w:val="single" w:sz="4"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Body)" w:hAnsi="Calibri (Body)"/>
        <w:sz w:val="22"/>
      </w:rPr>
      <w:t>Section 01780</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rPr>
        <w:rFonts w:ascii="Calibri" w:hAnsi="Calibri"/>
      </w:rPr>
    </w:pPr>
    <w:r>
      <w:rPr>
        <w:rFonts w:ascii="Calibri (Body)" w:hAnsi="Calibri (Body)"/>
        <w:sz w:val="22"/>
      </w:rPr>
      <w:t>2020-01-20</w:t>
    </w:r>
    <w:r>
      <w:rPr>
        <w:rFonts w:ascii="Calibri (Body)" w:hAnsi="Calibri (Body)"/>
        <w:b w:val="1"/>
        <w:sz w:val="22"/>
      </w:rPr>
      <w:tab/>
      <w:t>CONTRACT CLOSEOUT</w:t>
    </w:r>
    <w:r>
      <w:rPr>
        <w:rFonts w:ascii="Calibri (Body)" w:hAnsi="Calibri (Body)"/>
        <w:sz w:val="22"/>
      </w:rPr>
      <w:tab/>
    </w:r>
  </w:p>
  <w:p>
    <w:pPr>
      <w:pBdr>
        <w:top w:val="single" w:sz="4" w:space="0" w:shadow="0" w:frame="0"/>
      </w:pBdr>
      <w:tabs>
        <w:tab w:val="center" w:pos="5175" w:leader="none"/>
        <w:tab w:val="right" w:pos="1008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0" w:shadow="0" w:frame="0"/>
      </w:pBdr>
      <w:tabs>
        <w:tab w:val="center" w:pos="5175" w:leader="none"/>
        <w:tab w:val="right" w:pos="10350" w:leader="none"/>
      </w:tabs>
    </w:pPr>
  </w:p>
</w:hdr>
</file>

<file path=word/numbering.xml><?xml version="1.0" encoding="utf-8"?>
<w:numbering xmlns:w="http://schemas.openxmlformats.org/wordprocessingml/2006/main">
  <w:abstractNum w:abstractNumId="0">
    <w:nsid w:val="FFFFFF89"/>
    <w:multiLevelType w:val="hybridMultilevel"/>
    <w:lvl w:ilvl="0" w:tplc="6624718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3242AFDF">
      <w:start w:val="1"/>
      <w:numFmt w:val="bullet"/>
      <w:suff w:val="tab"/>
      <w:lvlText w:val=""/>
      <w:lvlJc w:val="left"/>
      <w:pPr>
        <w:ind w:hanging="360" w:left="1440"/>
        <w:tabs>
          <w:tab w:val="left" w:pos="1440" w:leader="none"/>
        </w:tabs>
      </w:pPr>
      <w:rPr>
        <w:rFonts w:ascii="Symbol" w:hAnsi="Symbol"/>
      </w:rPr>
    </w:lvl>
    <w:lvl w:ilvl="1" w:tplc="1351D5EE">
      <w:start w:val="1"/>
      <w:numFmt w:val="bullet"/>
      <w:suff w:val="tab"/>
      <w:lvlText w:val="o"/>
      <w:lvlJc w:val="left"/>
      <w:pPr>
        <w:ind w:hanging="360" w:left="2160"/>
        <w:tabs>
          <w:tab w:val="left" w:pos="2160" w:leader="none"/>
        </w:tabs>
      </w:pPr>
      <w:rPr>
        <w:rFonts w:ascii="Courier New" w:hAnsi="Courier New"/>
      </w:rPr>
    </w:lvl>
    <w:lvl w:ilvl="2" w:tplc="748B04B5">
      <w:start w:val="1"/>
      <w:numFmt w:val="bullet"/>
      <w:suff w:val="tab"/>
      <w:lvlText w:val=""/>
      <w:lvlJc w:val="left"/>
      <w:pPr>
        <w:ind w:hanging="360" w:left="2880"/>
        <w:tabs>
          <w:tab w:val="left" w:pos="2880" w:leader="none"/>
        </w:tabs>
      </w:pPr>
      <w:rPr>
        <w:rFonts w:ascii="Wingdings" w:hAnsi="Wingdings"/>
      </w:rPr>
    </w:lvl>
    <w:lvl w:ilvl="3" w:tplc="0B485DD9">
      <w:start w:val="1"/>
      <w:numFmt w:val="bullet"/>
      <w:suff w:val="tab"/>
      <w:lvlText w:val=""/>
      <w:lvlJc w:val="left"/>
      <w:pPr>
        <w:ind w:hanging="360" w:left="3600"/>
        <w:tabs>
          <w:tab w:val="left" w:pos="3600" w:leader="none"/>
        </w:tabs>
      </w:pPr>
      <w:rPr>
        <w:rFonts w:ascii="Symbol" w:hAnsi="Symbol"/>
      </w:rPr>
    </w:lvl>
    <w:lvl w:ilvl="4" w:tplc="31419288">
      <w:start w:val="1"/>
      <w:numFmt w:val="bullet"/>
      <w:suff w:val="tab"/>
      <w:lvlText w:val="o"/>
      <w:lvlJc w:val="left"/>
      <w:pPr>
        <w:ind w:hanging="360" w:left="4320"/>
        <w:tabs>
          <w:tab w:val="left" w:pos="4320" w:leader="none"/>
        </w:tabs>
      </w:pPr>
      <w:rPr>
        <w:rFonts w:ascii="Courier New" w:hAnsi="Courier New"/>
      </w:rPr>
    </w:lvl>
    <w:lvl w:ilvl="5" w:tplc="2D1EEC84">
      <w:start w:val="1"/>
      <w:numFmt w:val="bullet"/>
      <w:suff w:val="tab"/>
      <w:lvlText w:val=""/>
      <w:lvlJc w:val="left"/>
      <w:pPr>
        <w:ind w:hanging="360" w:left="5040"/>
        <w:tabs>
          <w:tab w:val="left" w:pos="5040" w:leader="none"/>
        </w:tabs>
      </w:pPr>
      <w:rPr>
        <w:rFonts w:ascii="Wingdings" w:hAnsi="Wingdings"/>
      </w:rPr>
    </w:lvl>
    <w:lvl w:ilvl="6" w:tplc="5C83B01C">
      <w:start w:val="1"/>
      <w:numFmt w:val="bullet"/>
      <w:suff w:val="tab"/>
      <w:lvlText w:val=""/>
      <w:lvlJc w:val="left"/>
      <w:pPr>
        <w:ind w:hanging="360" w:left="5760"/>
        <w:tabs>
          <w:tab w:val="left" w:pos="5760" w:leader="none"/>
        </w:tabs>
      </w:pPr>
      <w:rPr>
        <w:rFonts w:ascii="Symbol" w:hAnsi="Symbol"/>
      </w:rPr>
    </w:lvl>
    <w:lvl w:ilvl="7" w:tplc="34822BA9">
      <w:start w:val="1"/>
      <w:numFmt w:val="bullet"/>
      <w:suff w:val="tab"/>
      <w:lvlText w:val="o"/>
      <w:lvlJc w:val="left"/>
      <w:pPr>
        <w:ind w:hanging="360" w:left="6480"/>
        <w:tabs>
          <w:tab w:val="left" w:pos="6480" w:leader="none"/>
        </w:tabs>
      </w:pPr>
      <w:rPr>
        <w:rFonts w:ascii="Courier New" w:hAnsi="Courier New"/>
      </w:rPr>
    </w:lvl>
    <w:lvl w:ilvl="8" w:tplc="045A7D4A">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57757644">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u w:val="no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3"/>
  </w:num>
  <w:num w:numId="7">
    <w:abstractNumId w:val="7"/>
  </w:num>
  <w:num w:numId="8">
    <w:abstractNumId w:val="2"/>
  </w:num>
  <w:num w:numId="9">
    <w:abstractNumId w:val="10"/>
  </w:num>
  <w:num w:numId="10">
    <w:abstractNumId w:val="6"/>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link w:val="C8"/>
    <w:pPr>
      <w:spacing w:after="160"/>
    </w:pPr>
    <w:rPr>
      <w:rFonts w:ascii="Book Antiqua" w:hAnsi="Book Antiqua"/>
      <w:sz w:val="22"/>
    </w:rPr>
  </w:style>
  <w:style w:type="paragraph" w:styleId="P5">
    <w:name w:val="Comment Text"/>
    <w:basedOn w:val="P0"/>
    <w:next w:val="P5"/>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Balloon Text"/>
    <w:basedOn w:val="P0"/>
    <w:next w:val="P21"/>
    <w:pPr/>
    <w:rPr>
      <w:rFonts w:ascii="Tahoma" w:hAnsi="Tahoma"/>
      <w:sz w:val="16"/>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ullet"/>
    <w:basedOn w:val="P4"/>
    <w:next w:val="P4"/>
    <w:pPr/>
    <w:rPr/>
  </w:style>
  <w:style w:type="paragraph" w:styleId="P25">
    <w:name w:val="CSA"/>
    <w:basedOn w:val="P4"/>
    <w:next w:val="P31"/>
    <w:pPr>
      <w:keepNext w:val="1"/>
      <w:spacing w:after="0"/>
    </w:pPr>
    <w:rPr>
      <w:b w:val="1"/>
      <w:caps w:val="1"/>
      <w:sz w:val="20"/>
    </w:rPr>
  </w:style>
  <w:style w:type="paragraph" w:styleId="P26">
    <w:name w:val="Footnote Text"/>
    <w:basedOn w:val="P4"/>
    <w:next w:val="P26"/>
    <w:pPr>
      <w:spacing w:after="0"/>
    </w:pPr>
    <w:rPr>
      <w:rFonts w:ascii="Arial" w:hAnsi="Arial"/>
      <w:sz w:val="16"/>
    </w:rPr>
  </w:style>
  <w:style w:type="paragraph" w:styleId="P27">
    <w:name w:val="Number"/>
    <w:basedOn w:val="P4"/>
    <w:next w:val="P4"/>
    <w:pPr>
      <w:spacing w:after="0"/>
      <w:ind w:hanging="360" w:left="360"/>
    </w:pPr>
    <w:rPr/>
  </w:style>
  <w:style w:type="paragraph" w:styleId="P28">
    <w:name w:val="Tick"/>
    <w:basedOn w:val="P4"/>
    <w:next w:val="P4"/>
    <w:pPr>
      <w:spacing w:after="0"/>
      <w:ind w:hanging="360" w:left="720"/>
    </w:pPr>
    <w:rPr/>
  </w:style>
  <w:style w:type="paragraph" w:styleId="P29">
    <w:name w:val="TOC 1"/>
    <w:basedOn w:val="P4"/>
    <w:next w:val="P42"/>
    <w:pPr>
      <w:tabs>
        <w:tab w:val="right" w:pos="8640" w:leader="dot"/>
      </w:tabs>
      <w:spacing w:after="0"/>
    </w:pPr>
    <w:rPr>
      <w:b w:val="1"/>
    </w:rPr>
  </w:style>
  <w:style w:type="paragraph" w:styleId="P30">
    <w:name w:val="Comment Subject"/>
    <w:basedOn w:val="P5"/>
    <w:next w:val="P5"/>
    <w:pPr>
      <w:spacing w:before="0"/>
    </w:pPr>
    <w:rPr>
      <w:rFonts w:ascii="Book Antiqua" w:hAnsi="Book Antiqua"/>
      <w:b w:val="1"/>
      <w:sz w:val="20"/>
    </w:rPr>
  </w:style>
  <w:style w:type="paragraph" w:styleId="P31">
    <w:name w:val="Heading 1"/>
    <w:aliases w:val="Contents - level1 Char"/>
    <w:basedOn w:val="P7"/>
    <w:next w:val="P4"/>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2">
    <w:name w:val="Heading 2"/>
    <w:basedOn w:val="P7"/>
    <w:next w:val="P4"/>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3">
    <w:name w:val="Heading 3"/>
    <w:basedOn w:val="P7"/>
    <w:next w:val="P33"/>
    <w:link w:val="C7"/>
    <w:qFormat/>
    <w:pPr>
      <w:numPr>
        <w:ilvl w:val="2"/>
        <w:numId w:val="3"/>
      </w:numPr>
      <w:tabs>
        <w:tab w:val="clear" w:pos="720" w:leader="none"/>
        <w:tab w:val="left" w:pos="1418" w:leader="none"/>
      </w:tabs>
      <w:spacing w:before="80"/>
      <w:ind w:hanging="720" w:left="1418"/>
      <w:outlineLvl w:val="2"/>
    </w:pPr>
    <w:rPr>
      <w:rFonts w:ascii="Calibri" w:hAnsi="Calibri"/>
      <w:b w:val="0"/>
    </w:rPr>
  </w:style>
  <w:style w:type="paragraph" w:styleId="P34">
    <w:name w:val="Heading 4"/>
    <w:basedOn w:val="P7"/>
    <w:next w:val="P34"/>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5">
    <w:name w:val="Heading 5"/>
    <w:basedOn w:val="P7"/>
    <w:next w:val="P35"/>
    <w:qFormat/>
    <w:pPr>
      <w:numPr>
        <w:ilvl w:val="4"/>
        <w:numId w:val="3"/>
      </w:numPr>
      <w:tabs>
        <w:tab w:val="clear" w:pos="720" w:leader="none"/>
        <w:tab w:val="left" w:pos="5760" w:leader="none"/>
      </w:tabs>
      <w:ind w:hanging="720" w:left="5760"/>
      <w:outlineLvl w:val="4"/>
    </w:pPr>
    <w:rPr>
      <w:rFonts w:ascii="Arial" w:hAnsi="Arial"/>
      <w:b w:val="0"/>
    </w:rPr>
  </w:style>
  <w:style w:type="paragraph" w:styleId="P36">
    <w:name w:val="Heading 6"/>
    <w:basedOn w:val="P7"/>
    <w:next w:val="P4"/>
    <w:qFormat/>
    <w:pPr>
      <w:numPr>
        <w:ilvl w:val="5"/>
        <w:numId w:val="3"/>
      </w:numPr>
      <w:outlineLvl w:val="5"/>
    </w:pPr>
    <w:rPr>
      <w:i w:val="1"/>
      <w:sz w:val="24"/>
    </w:rPr>
  </w:style>
  <w:style w:type="paragraph" w:styleId="P37">
    <w:name w:val="Caption"/>
    <w:basedOn w:val="P7"/>
    <w:next w:val="P0"/>
    <w:qFormat/>
    <w:pPr>
      <w:keepNext w:val="1"/>
      <w:spacing w:after="240"/>
    </w:pPr>
    <w:rPr>
      <w:b w:val="0"/>
      <w:i w:val="1"/>
      <w:sz w:val="20"/>
    </w:rPr>
  </w:style>
  <w:style w:type="paragraph" w:styleId="P38">
    <w:name w:val="Exhibit--Number"/>
    <w:basedOn w:val="P7"/>
    <w:next w:val="P44"/>
    <w:pPr>
      <w:spacing w:before="160"/>
    </w:pPr>
    <w:rPr>
      <w:caps w:val="1"/>
      <w:sz w:val="18"/>
    </w:rPr>
  </w:style>
  <w:style w:type="paragraph" w:styleId="P39">
    <w:name w:val="Title"/>
    <w:basedOn w:val="P7"/>
    <w:next w:val="P39"/>
    <w:qFormat/>
    <w:pPr>
      <w:keepNext w:val="1"/>
      <w:spacing w:before="160" w:after="30"/>
    </w:pPr>
    <w:rPr>
      <w:sz w:val="20"/>
    </w:rPr>
  </w:style>
  <w:style w:type="paragraph" w:styleId="P40">
    <w:name w:val="Table Body"/>
    <w:basedOn w:val="P12"/>
    <w:next w:val="P40"/>
    <w:pPr>
      <w:jc w:val="left"/>
    </w:pPr>
    <w:rPr>
      <w:b w:val="0"/>
    </w:rPr>
  </w:style>
  <w:style w:type="paragraph" w:styleId="P41">
    <w:name w:val="List Bullet"/>
    <w:basedOn w:val="P24"/>
    <w:next w:val="P41"/>
    <w:pPr>
      <w:numPr>
        <w:numId w:val="2"/>
      </w:numPr>
    </w:pPr>
    <w:rPr/>
  </w:style>
  <w:style w:type="paragraph" w:styleId="P42">
    <w:name w:val="TOC 2"/>
    <w:basedOn w:val="P29"/>
    <w:next w:val="P46"/>
    <w:pPr>
      <w:tabs>
        <w:tab w:val="left" w:pos="1008" w:leader="none"/>
      </w:tabs>
      <w:ind w:left="720"/>
    </w:pPr>
    <w:rPr>
      <w:b w:val="0"/>
    </w:rPr>
  </w:style>
  <w:style w:type="paragraph" w:styleId="P43">
    <w:name w:val="Contents"/>
    <w:basedOn w:val="P31"/>
    <w:next w:val="P4"/>
    <w:pPr/>
    <w:rPr/>
  </w:style>
  <w:style w:type="paragraph" w:styleId="P44">
    <w:name w:val="Exhibit--Title"/>
    <w:basedOn w:val="P38"/>
    <w:next w:val="P47"/>
    <w:pPr>
      <w:spacing w:before="0"/>
    </w:pPr>
    <w:rPr>
      <w:b w:val="1"/>
      <w:caps w:val="0"/>
      <w:sz w:val="20"/>
    </w:rPr>
  </w:style>
  <w:style w:type="paragraph" w:styleId="P45">
    <w:name w:val="Table Notes"/>
    <w:basedOn w:val="P40"/>
    <w:next w:val="P45"/>
    <w:pPr>
      <w:spacing w:after="320"/>
    </w:pPr>
    <w:rPr/>
  </w:style>
  <w:style w:type="paragraph" w:styleId="P46">
    <w:name w:val="TOC 3"/>
    <w:basedOn w:val="P42"/>
    <w:next w:val="P46"/>
    <w:pPr>
      <w:tabs>
        <w:tab w:val="clear" w:pos="1008" w:leader="none"/>
        <w:tab w:val="left" w:pos="1728" w:leader="none"/>
      </w:tabs>
      <w:ind w:left="1440"/>
    </w:pPr>
    <w:rPr/>
  </w:style>
  <w:style w:type="paragraph" w:styleId="P47">
    <w:name w:val="Exhibit--Caption"/>
    <w:basedOn w:val="P44"/>
    <w:next w:val="P4"/>
    <w:pPr/>
    <w:rPr>
      <w:i w:val="1"/>
    </w:rPr>
  </w:style>
  <w:style w:type="paragraph" w:styleId="P48">
    <w:name w:val="TOC 4"/>
    <w:basedOn w:val="P46"/>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3"/>
    <w:rPr>
      <w:rFonts w:ascii="Calibri" w:hAnsi="Calibri"/>
      <w:b w:val="0"/>
    </w:rPr>
  </w:style>
  <w:style w:type="character" w:styleId="C8">
    <w:name w:val="Body Text Char"/>
    <w:link w:val="P4"/>
    <w:rPr>
      <w:rFonts w:ascii="Book Antiqua" w:hAnsi="Book Antiqua"/>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Ftr1" Type="http://schemas.openxmlformats.org/officeDocument/2006/relationships/footer" Target="footer1.xml"/><Relationship Id="RelFtr2" Type="http://schemas.openxmlformats.org/officeDocument/2006/relationships/footer" Target="footer2.xml"/><Relationship Id="RelFtr3" Type="http://schemas.openxmlformats.org/officeDocument/2006/relationships/footer" Target="foot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2019-03-04T18:23:00Z</dcterms:created>
  <cp:lastModifiedBy>Ray</cp:lastModifiedBy>
  <cp:lastPrinted>2016-01-20T19:08:00Z</cp:lastPrinted>
  <dcterms:modified xsi:type="dcterms:W3CDTF">2022-10-04T19:38:50Z</dcterms:modified>
  <cp:revision>5</cp:revision>
  <dc:title>01780_Contract_Closeout (Jan 25,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2020-01-20T00:00:00Z</vt:lpwstr>
  </property>
  <property fmtid="{D5CDD505-2E9C-101B-9397-08002B2CF9AE}" pid="4" name="Document Type">
    <vt:lpwstr>Technical Design Specification Templates</vt:lpwstr>
  </property>
  <property fmtid="{D5CDD505-2E9C-101B-9397-08002B2CF9AE}" pid="5" name="Sort Order">
    <vt:lpwstr/>
  </property>
  <property fmtid="{D5CDD505-2E9C-101B-9397-08002B2CF9AE}" pid="6" name="IconOverlay">
    <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01 - General Requirements/01780 Contract Closeout.DOC</vt:lpwstr>
  </property>
  <property fmtid="{D5CDD505-2E9C-101B-9397-08002B2CF9AE}" pid="10" name="Order">
    <vt:lpwstr>217600.000000000</vt:lpwstr>
  </property>
</Properties>
</file>