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1CFAE9B" Type="http://schemas.openxmlformats.org/officeDocument/2006/relationships/officeDocument" Target="/word/document.xml" /><Relationship Id="coreR41CFAE9B" Type="http://schemas.openxmlformats.org/package/2006/relationships/metadata/core-properties" Target="/docProps/core.xml" /><Relationship Id="customR41CFAE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_GoBack"/>
            <w:bookmarkEnd w:id="0"/>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New Spec based on OPSS 404 Support Systems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December 12,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rPr>
            </w:pPr>
            <w:r>
              <w:rPr>
                <w:rFonts w:ascii="Calibri" w:hAnsi="Calibri"/>
                <w:sz w:val="22"/>
              </w:rPr>
              <w:t xml:space="preserve">Updated reference to OPSS.MUNI 404 (Nov 2017) (AAM) </w:t>
            </w:r>
          </w:p>
        </w:tc>
      </w:tr>
    </w:tbl>
    <w:p>
      <w:pPr>
        <w:pStyle w:val="P10"/>
      </w:pPr>
    </w:p>
    <w:p>
      <w:pPr>
        <w:pStyle w:val="P10"/>
        <w:pBdr>
          <w:top w:val="single" w:sz="4" w:space="1" w:shadow="0" w:frame="0"/>
          <w:left w:val="single" w:sz="4" w:space="0" w:shadow="0" w:frame="0"/>
          <w:bottom w:val="single" w:sz="4" w:space="1" w:shadow="0" w:frame="0"/>
          <w:right w:val="single" w:sz="4" w:space="0" w:shadow="0" w:frame="0"/>
        </w:pBdr>
      </w:pPr>
      <w:r>
        <w:t>NOTE:</w:t>
      </w:r>
    </w:p>
    <w:p>
      <w:pPr>
        <w:pStyle w:val="P10"/>
        <w:pBdr>
          <w:top w:val="single" w:sz="4" w:space="1" w:shadow="0" w:frame="0"/>
          <w:left w:val="single" w:sz="4" w:space="0" w:shadow="0" w:frame="0"/>
          <w:bottom w:val="single" w:sz="4" w:space="1" w:shadow="0" w:frame="0"/>
          <w:right w:val="single" w:sz="4" w:space="0"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0"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0" w:shadow="0" w:frame="0"/>
        </w:pBdr>
        <w:rPr>
          <w:b w:val="1"/>
        </w:rPr>
      </w:pPr>
      <w:r>
        <w:rPr>
          <w:b w:val="1"/>
        </w:rPr>
        <w:t>The on-line copy is the current version of the document.</w:t>
      </w:r>
    </w:p>
    <w:p>
      <w:pPr>
        <w:pStyle w:val="P10"/>
      </w:pPr>
    </w:p>
    <w:p>
      <w:pPr>
        <w:pStyle w:val="P10"/>
      </w:pPr>
    </w:p>
    <w:p>
      <w:pPr>
        <w:pStyle w:val="P1"/>
      </w:pPr>
      <w:r>
        <w:br w:type="page"/>
        <w:t>GENERAL</w:t>
      </w:r>
    </w:p>
    <w:p>
      <w:pPr>
        <w:pStyle w:val="P2"/>
      </w:pPr>
      <w:r>
        <w:t>Summary</w:t>
      </w:r>
    </w:p>
    <w:p>
      <w:pPr>
        <w:pStyle w:val="P3"/>
      </w:pPr>
      <w:r>
        <w:t>Comply with the requirements of Division 1 - General Requirements.</w:t>
      </w:r>
    </w:p>
    <w:p>
      <w:pPr>
        <w:pStyle w:val="P3"/>
      </w:pPr>
      <w:r>
        <w:t xml:space="preserve">This Specification  Section covers the requirements for supplying, placing, maintaining, and removing support systems required to permit the excavation and backfilling of trenches or excavations for the installation of sanitary and storm pipe sewers, pipe culverts and end sections, forcemains and associated appurtenances, watermains and associated appurtenances, and other underground Utilities; maintenance holes, catch basins, ditch inlets, and valve chambers; and any other specified subsurface construction. </w:t>
      </w:r>
    </w:p>
    <w:p>
      <w:pPr>
        <w:pStyle w:val="P2"/>
      </w:pPr>
      <w:r>
        <w:t>Related Sections</w:t>
      </w:r>
    </w:p>
    <w:p>
      <w:pPr>
        <w:pStyle w:val="P4"/>
        <w:numPr>
          <w:ilvl w:val="3"/>
          <w:numId w:val="0"/>
        </w:numPr>
        <w:ind w:firstLine="0" w:left="144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
        <w:numPr>
          <w:ilvl w:val="3"/>
          <w:numId w:val="0"/>
        </w:numPr>
        <w:ind w:firstLine="0" w:left="1440"/>
        <w:rPr>
          <w:i w:val="1"/>
          <w:highlight w:val="yellow"/>
        </w:rPr>
      </w:pPr>
    </w:p>
    <w:p>
      <w:pPr>
        <w:pStyle w:val="P4"/>
        <w:numPr>
          <w:ilvl w:val="3"/>
          <w:numId w:val="0"/>
        </w:numPr>
        <w:ind w:firstLine="0" w:left="144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4"/>
        <w:numPr>
          <w:ilvl w:val="3"/>
          <w:numId w:val="0"/>
        </w:numPr>
        <w:ind w:firstLine="0" w:left="1440"/>
        <w:rPr>
          <w:i w:val="1"/>
          <w:highlight w:val="yellow"/>
        </w:rPr>
      </w:pPr>
    </w:p>
    <w:p>
      <w:pPr>
        <w:pStyle w:val="P4"/>
        <w:numPr>
          <w:ilvl w:val="3"/>
          <w:numId w:val="0"/>
        </w:numPr>
        <w:ind w:firstLine="0" w:left="1440"/>
        <w:rPr>
          <w:i w:val="1"/>
          <w:highlight w:val="yellow"/>
        </w:rPr>
      </w:pPr>
      <w:r>
        <w:rPr>
          <w:i w:val="1"/>
          <w:highlight w:val="yellow"/>
        </w:rPr>
        <w:t>Contractor is responsible for coordination of the Work.</w:t>
      </w:r>
    </w:p>
    <w:p>
      <w:pPr>
        <w:pStyle w:val="P4"/>
        <w:numPr>
          <w:ilvl w:val="3"/>
          <w:numId w:val="0"/>
        </w:numPr>
        <w:ind w:firstLine="0" w:left="1440"/>
        <w:rPr>
          <w:i w:val="1"/>
          <w:highlight w:val="yellow"/>
        </w:rPr>
      </w:pPr>
    </w:p>
    <w:p>
      <w:pPr>
        <w:pStyle w:val="P4"/>
        <w:numPr>
          <w:ilvl w:val="3"/>
          <w:numId w:val="0"/>
        </w:numPr>
        <w:ind w:firstLine="0" w:left="144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4"/>
        <w:numPr>
          <w:ilvl w:val="3"/>
          <w:numId w:val="0"/>
        </w:numPr>
        <w:ind w:firstLine="0" w:left="1440"/>
        <w:rPr>
          <w:highlight w:val="yellow"/>
        </w:rPr>
      </w:pPr>
    </w:p>
    <w:p>
      <w:pPr>
        <w:pStyle w:val="P4"/>
        <w:numPr>
          <w:ilvl w:val="3"/>
          <w:numId w:val="0"/>
        </w:numPr>
        <w:ind w:firstLine="0" w:left="1440"/>
        <w:rPr>
          <w:i w:val="1"/>
        </w:rPr>
      </w:pPr>
      <w:r>
        <w:rPr>
          <w:i w:val="1"/>
          <w:highlight w:val="yellow"/>
        </w:rPr>
        <w:t>[List Sections specifying installation of products supplied but not installed under this Section and indicate specific items.]</w:t>
      </w:r>
    </w:p>
    <w:p>
      <w:pPr>
        <w:pStyle w:val="P3"/>
        <w:numPr>
          <w:ilvl w:val="2"/>
          <w:numId w:val="0"/>
        </w:numPr>
        <w:ind w:hanging="720" w:left="1440"/>
      </w:pPr>
    </w:p>
    <w:p>
      <w:pPr>
        <w:pStyle w:val="P3"/>
        <w:numPr>
          <w:ilvl w:val="2"/>
          <w:numId w:val="0"/>
        </w:numPr>
        <w:ind w:hanging="720" w:left="1440"/>
      </w:pPr>
      <w:r>
        <w:t>.1</w:t>
        <w:tab/>
        <w:t xml:space="preserve">Section [______ – ____________]:  Execution requirements for ...[item]...  specified under this Section.</w:t>
      </w:r>
    </w:p>
    <w:p>
      <w:pPr>
        <w:pStyle w:val="P3"/>
        <w:numPr>
          <w:ilvl w:val="2"/>
          <w:numId w:val="0"/>
        </w:numPr>
        <w:ind w:firstLine="0" w:left="1440"/>
      </w:pPr>
    </w:p>
    <w:p>
      <w:pPr>
        <w:pStyle w:val="P3"/>
        <w:numPr>
          <w:ilvl w:val="2"/>
          <w:numId w:val="0"/>
        </w:numPr>
        <w:ind w:firstLine="0" w:left="1440"/>
      </w:pPr>
      <w:r>
        <w:t>[List Sections specifying products installed but not supplied under this Section and indicate specific items.]</w:t>
      </w:r>
    </w:p>
    <w:p>
      <w:pPr>
        <w:pStyle w:val="P3"/>
        <w:numPr>
          <w:ilvl w:val="2"/>
          <w:numId w:val="0"/>
        </w:numPr>
        <w:ind w:firstLine="0" w:left="1440"/>
      </w:pPr>
      <w:r>
        <w:t xml:space="preserve">Section [______ – ____________]:  Product requirements for ...[item]...  for installation under this Section.</w:t>
      </w:r>
    </w:p>
    <w:p>
      <w:pPr>
        <w:pStyle w:val="P3"/>
        <w:numPr>
          <w:ilvl w:val="2"/>
          <w:numId w:val="0"/>
        </w:numPr>
        <w:ind w:firstLine="0" w:left="1440"/>
      </w:pPr>
      <w:r>
        <w:t>[List Sections specifying related requirements.]</w:t>
      </w:r>
    </w:p>
    <w:p>
      <w:pPr>
        <w:pStyle w:val="P3"/>
        <w:numPr>
          <w:ilvl w:val="2"/>
          <w:numId w:val="0"/>
        </w:numPr>
        <w:ind w:hanging="720" w:left="1440"/>
      </w:pPr>
      <w:r>
        <w:t>.2</w:t>
        <w:tab/>
        <w:t xml:space="preserve">Section [______ – ____________]:  [Optional short phrase indicating relationship].</w:t>
      </w:r>
    </w:p>
    <w:p>
      <w:pPr>
        <w:pStyle w:val="P4"/>
      </w:pPr>
      <w:r>
        <w:t>Section 02511 – Watermains</w:t>
      </w:r>
    </w:p>
    <w:p>
      <w:pPr>
        <w:pStyle w:val="P4"/>
      </w:pPr>
      <w:r>
        <w:t>Section 02530 – Sewerage</w:t>
      </w:r>
    </w:p>
    <w:p>
      <w:pPr>
        <w:pStyle w:val="P4"/>
      </w:pPr>
      <w:r>
        <w:t>Section 02531 – Sewage Forcemains</w:t>
      </w:r>
    </w:p>
    <w:p>
      <w:pPr>
        <w:pStyle w:val="P4"/>
      </w:pPr>
      <w:r>
        <w:t>Section 02631 – Manholes and Catchbasins</w:t>
      </w:r>
    </w:p>
    <w:p>
      <w:pPr>
        <w:pStyle w:val="P2"/>
      </w:pPr>
      <w:r>
        <w:t>References</w:t>
      </w:r>
    </w:p>
    <w:p>
      <w:pPr>
        <w:pStyle w:val="P3"/>
      </w:pPr>
      <w:r>
        <w:t>Ontario Provincial Standards for Roads and Public Works</w:t>
      </w:r>
    </w:p>
    <w:p>
      <w:pPr>
        <w:pStyle w:val="P4"/>
      </w:pPr>
      <w:r>
        <w:t>OPSS.MUNI 404 Support Systems (Nov 2017)</w:t>
      </w:r>
    </w:p>
    <w:p>
      <w:pPr>
        <w:pStyle w:val="P3"/>
      </w:pPr>
      <w:r>
        <w:t>Occupational Health and Safety Act, R.S.O. 1990, c.O.1, as amended</w:t>
      </w:r>
    </w:p>
    <w:p>
      <w:pPr>
        <w:pStyle w:val="P3"/>
      </w:pPr>
      <w:r>
        <w:t>Ontario Regulation 213/91 Construction Projects, as amended</w:t>
      </w:r>
    </w:p>
    <w:p>
      <w:pPr>
        <w:pStyle w:val="P2"/>
      </w:pPr>
      <w:r>
        <w:t>Definitions</w:t>
      </w:r>
    </w:p>
    <w:p>
      <w:pPr>
        <w:pStyle w:val="P3"/>
      </w:pPr>
      <w:r>
        <w:t>OPSS.MUNI 404.03 shall be followed</w:t>
      </w:r>
    </w:p>
    <w:p>
      <w:pPr>
        <w:pStyle w:val="P2"/>
      </w:pPr>
      <w:r>
        <w:t>Design and Submission Requirements</w:t>
      </w:r>
    </w:p>
    <w:p>
      <w:pPr>
        <w:pStyle w:val="P3"/>
        <w:rPr>
          <w:highlight w:val="yellow"/>
        </w:rPr>
      </w:pPr>
      <w:r>
        <w:t xml:space="preserve">OPSS.MUNI 404.04.01.01  </w:t>
      </w:r>
      <w:r>
        <w:rPr>
          <w:highlight w:val="yellow"/>
        </w:rPr>
        <w:t>[Consultant shall note if a pre-condition survey has been completed and forms part of the Contract Documents]</w:t>
      </w:r>
    </w:p>
    <w:p>
      <w:pPr>
        <w:pStyle w:val="P1"/>
      </w:pPr>
      <w:r>
        <w:t>MATERIALS (Not used)</w:t>
      </w:r>
    </w:p>
    <w:p>
      <w:pPr>
        <w:pStyle w:val="P1"/>
      </w:pPr>
      <w:r>
        <w:t>EXECUTION</w:t>
      </w:r>
    </w:p>
    <w:p>
      <w:pPr>
        <w:pStyle w:val="P2"/>
      </w:pPr>
      <w:r>
        <w:t>OPSS.MUNI 404.07 shall be followed with the following amendments:</w:t>
      </w:r>
    </w:p>
    <w:p>
      <w:pPr>
        <w:pStyle w:val="P10"/>
        <w:tabs>
          <w:tab w:val="left" w:pos="2160" w:leader="none"/>
        </w:tabs>
        <w:ind w:hanging="1440" w:left="2160"/>
      </w:pPr>
      <w:r>
        <w:rPr>
          <w:b w:val="1"/>
        </w:rPr>
        <w:t>404.07.03</w:t>
      </w:r>
      <w:r>
        <w:t xml:space="preserve"> </w:t>
        <w:tab/>
      </w:r>
      <w:r>
        <w:rPr>
          <w:b w:val="1"/>
        </w:rPr>
        <w:t>Removal, Backfilling and Compacting</w:t>
      </w:r>
      <w:r>
        <w:t xml:space="preserve"> is amended by the replacement of the first paragraph with the following:</w:t>
      </w:r>
    </w:p>
    <w:p>
      <w:pPr>
        <w:pStyle w:val="P10"/>
        <w:tabs>
          <w:tab w:val="left" w:pos="2160" w:leader="none"/>
        </w:tabs>
        <w:ind w:hanging="1440" w:left="2160"/>
      </w:pPr>
      <w:r>
        <w:rPr>
          <w:b w:val="1"/>
        </w:rPr>
        <w:tab/>
      </w:r>
      <w:r>
        <w:t>As the excavation is backfilled, the support system shall be removed, unless it is specified in the Contract Documents to be left in place or approved by the Consultant.</w:t>
      </w:r>
    </w:p>
    <w:p>
      <w:pPr>
        <w:pStyle w:val="P44"/>
        <w:spacing w:before="240" w:beforeAutospacing="0" w:afterAutospacing="0"/>
        <w:jc w:val="center"/>
        <w:rPr>
          <w:rFonts w:ascii="Calibri" w:hAnsi="Calibri"/>
          <w:b w:val="1"/>
          <w:sz w:val="22"/>
        </w:rPr>
      </w:pPr>
      <w:r>
        <w:t xml:space="preserve"> </w:t>
      </w: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02150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EXCAVATION SHORING SYSTEMS</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t>CONTRACT NO</w:t>
    </w:r>
    <w:r>
      <w:rPr>
        <w:highlight w:val="yellow"/>
      </w:rPr>
      <w:t>. [Insert Region Number]</w:t>
    </w:r>
    <w:r>
      <w:tab/>
      <w:t>Section 02260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b w:val="1"/>
      </w:rPr>
      <w:tab/>
      <w:t>EXCAVATION SUPPORT SYSTEMS</w:t>
    </w:r>
    <w:r>
      <w:tab/>
      <w:t>2017-12-12</w:t>
    </w:r>
  </w:p>
  <w:p>
    <w:pPr>
      <w:pBdr>
        <w:top w:val="single" w:sz="4" w:space="1" w:shadow="0" w:frame="0"/>
        <w:left w:val="none" w:sz="0" w:space="0" w:shadow="0" w:frame="0"/>
        <w:bottom w:val="none" w:sz="0" w:space="0" w:shadow="0" w:frame="0"/>
        <w:right w:val="none" w:sz="0" w:space="0" w:shadow="0" w:frame="0"/>
      </w:pBdr>
      <w:tabs>
        <w:tab w:val="center" w:pos="5040" w:leader="none"/>
        <w:tab w:val="right" w:pos="9810" w:leader="none"/>
      </w:tabs>
      <w:rPr>
        <w:caps w:val="1"/>
      </w:rPr>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t>Section 02260</w:t>
      <w:tab/>
      <w:t>CONTRACT NO</w:t>
    </w:r>
    <w:r>
      <w:rPr>
        <w:highlight w:val="yellow"/>
      </w:rPr>
      <w:t>. [Insert Region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pPr>
    <w:r>
      <w:t>2017-12-12</w:t>
    </w:r>
    <w:r>
      <w:rPr>
        <w:b w:val="1"/>
      </w:rPr>
      <w:tab/>
      <w:t>EXCAVATION SHORING SYSTEMS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2018)]</w:t>
    </w:r>
    <w:r>
      <w:tab/>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DB3024B">
      <w:start w:val="1"/>
      <w:numFmt w:val="decimal"/>
      <w:suff w:val="tab"/>
      <w:lvlText w:val="%1."/>
      <w:lvlJc w:val="left"/>
      <w:pPr/>
      <w:rPr/>
    </w:lvl>
    <w:lvl w:ilvl="2" w:tplc="5B2AACB8">
      <w:start w:val="1"/>
      <w:numFmt w:val="decimal"/>
      <w:suff w:val="tab"/>
      <w:lvlText w:val="%1."/>
      <w:lvlJc w:val="left"/>
      <w:pPr/>
      <w:rPr/>
    </w:lvl>
    <w:lvl w:ilvl="3" w:tplc="386A72AE">
      <w:start w:val="1"/>
      <w:numFmt w:val="decimal"/>
      <w:suff w:val="tab"/>
      <w:lvlText w:val="%1."/>
      <w:lvlJc w:val="left"/>
      <w:pPr/>
      <w:rPr/>
    </w:lvl>
    <w:lvl w:ilvl="4" w:tplc="296502D9">
      <w:start w:val="1"/>
      <w:numFmt w:val="decimal"/>
      <w:suff w:val="tab"/>
      <w:lvlText w:val="%1."/>
      <w:lvlJc w:val="left"/>
      <w:pPr/>
      <w:rPr/>
    </w:lvl>
    <w:lvl w:ilvl="5" w:tplc="31B25D4C">
      <w:start w:val="1"/>
      <w:numFmt w:val="decimal"/>
      <w:suff w:val="tab"/>
      <w:lvlText w:val="%1."/>
      <w:lvlJc w:val="left"/>
      <w:pPr/>
      <w:rPr/>
    </w:lvl>
    <w:lvl w:ilvl="6" w:tplc="35760CE8">
      <w:start w:val="1"/>
      <w:numFmt w:val="decimal"/>
      <w:suff w:val="tab"/>
      <w:lvlText w:val="%1."/>
      <w:lvlJc w:val="left"/>
      <w:pPr/>
      <w:rPr/>
    </w:lvl>
    <w:lvl w:ilvl="7" w:tplc="6F146105">
      <w:start w:val="1"/>
      <w:numFmt w:val="decimal"/>
      <w:suff w:val="tab"/>
      <w:lvlText w:val="%1."/>
      <w:lvlJc w:val="left"/>
      <w:pPr/>
      <w:rPr/>
    </w:lvl>
    <w:lvl w:ilvl="8" w:tplc="65D7DC26">
      <w:start w:val="1"/>
      <w:numFmt w:val="decimal"/>
      <w:suff w:val="tab"/>
      <w:lvlText w:val="%1."/>
      <w:lvlJc w:val="left"/>
      <w:pPr/>
      <w:rPr/>
    </w:lvl>
  </w:abstractNum>
  <w:abstractNum w:abstractNumId="1">
    <w:nsid w:val="00000402"/>
    <w:multiLevelType w:val="multilevel"/>
    <w:lvl w:ilvl="0">
      <w:start w:val="1"/>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suff w:val="tab"/>
      <w:lvlText w:val="%1.%2"/>
      <w:lvlJc w:val="left"/>
      <w:pPr>
        <w:ind w:hanging="576" w:left="860"/>
        <w:tabs>
          <w:tab w:val="left" w:pos="860" w:leader="none"/>
        </w:tabs>
      </w:pPr>
      <w:rPr>
        <w:i w:val="0"/>
        <w:caps w:val="0"/>
        <w:strike w:val="0"/>
        <w:noProof w:val="0"/>
        <w:vanish w:val="0"/>
        <w:u w:val="none"/>
        <w:vertAlign w:val="baseline"/>
      </w:rPr>
    </w:lvl>
    <w:lvl w:ilvl="2">
      <w:start w:val="1"/>
      <w:numFmt w:val="decimal"/>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suff w:val="tab"/>
      <w:lvlText w:val=".%4"/>
      <w:lvlJc w:val="left"/>
      <w:pPr>
        <w:ind w:firstLine="3456" w:left="939"/>
        <w:tabs>
          <w:tab w:val="left" w:pos="939"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8"/>
  </w:num>
  <w:num w:numId="5">
    <w:abstractNumId w:val="13"/>
  </w:num>
  <w:num w:numId="6">
    <w:abstractNumId w:val="6"/>
  </w:num>
  <w:num w:numId="7">
    <w:abstractNumId w:val="10"/>
  </w:num>
  <w:num w:numId="8">
    <w:abstractNumId w:val="5"/>
  </w:num>
  <w:num w:numId="9">
    <w:abstractNumId w:val="14"/>
  </w:num>
  <w:num w:numId="10">
    <w:abstractNumId w:val="9"/>
  </w:num>
  <w:num w:numId="11">
    <w:abstractNumId w:val="12"/>
  </w:num>
  <w:num w:numId="12">
    <w:abstractNumId w:val="3"/>
  </w:num>
  <w:num w:numId="13">
    <w:abstractNumId w:val="2"/>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2"/>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52"/>
    <w:link w:val="C13"/>
    <w:qFormat/>
    <w:pPr>
      <w:numPr>
        <w:numId w:val="25"/>
      </w:numPr>
      <w:spacing w:before="160" w:beforeAutospacing="0" w:afterAutospacing="0"/>
      <w:contextualSpacing w:val="0"/>
      <w:outlineLvl w:val="0"/>
    </w:pPr>
    <w:rPr/>
  </w:style>
  <w:style w:type="paragraph" w:styleId="P2">
    <w:name w:val="heading 2"/>
    <w:basedOn w:val="P52"/>
    <w:next w:val="P0"/>
    <w:link w:val="C14"/>
    <w:qFormat/>
    <w:pPr>
      <w:numPr>
        <w:ilvl w:val="1"/>
        <w:numId w:val="25"/>
      </w:numPr>
      <w:spacing w:before="80" w:beforeAutospacing="0" w:afterAutospacing="0"/>
      <w:outlineLvl w:val="1"/>
    </w:pPr>
    <w:rPr>
      <w:u w:val="single"/>
    </w:rPr>
  </w:style>
  <w:style w:type="paragraph" w:styleId="P3">
    <w:name w:val="heading 3"/>
    <w:basedOn w:val="P52"/>
    <w:link w:val="C8"/>
    <w:qFormat/>
    <w:pPr>
      <w:numPr>
        <w:ilvl w:val="2"/>
        <w:numId w:val="25"/>
      </w:numPr>
      <w:outlineLvl w:val="2"/>
    </w:pPr>
    <w:rPr/>
  </w:style>
  <w:style w:type="paragraph" w:styleId="P4">
    <w:name w:val="heading 4"/>
    <w:basedOn w:val="P52"/>
    <w:link w:val="C15"/>
    <w:qFormat/>
    <w:pPr>
      <w:numPr>
        <w:ilvl w:val="3"/>
        <w:numId w:val="25"/>
      </w:numPr>
      <w:outlineLvl w:val="3"/>
    </w:pPr>
    <w:rPr/>
  </w:style>
  <w:style w:type="paragraph" w:styleId="P5">
    <w:name w:val="heading 5"/>
    <w:basedOn w:val="P4"/>
    <w:link w:val="C16"/>
    <w:qFormat/>
    <w:pPr>
      <w:numPr>
        <w:ilvl w:val="4"/>
      </w:numPr>
      <w:outlineLvl w:val="4"/>
    </w:pPr>
    <w:rPr/>
  </w:style>
  <w:style w:type="paragraph" w:styleId="P6">
    <w:name w:val="heading 6"/>
    <w:basedOn w:val="P5"/>
    <w:next w:val="P0"/>
    <w:link w:val="C17"/>
    <w:qFormat/>
    <w:pPr>
      <w:numPr>
        <w:ilvl w:val="5"/>
      </w:numPr>
      <w:outlineLvl w:val="5"/>
    </w:pPr>
    <w:rPr/>
  </w:style>
  <w:style w:type="paragraph" w:styleId="P7">
    <w:name w:val="heading 7"/>
    <w:basedOn w:val="P52"/>
    <w:next w:val="P0"/>
    <w:link w:val="C18"/>
    <w:qFormat/>
    <w:pPr>
      <w:numPr>
        <w:ilvl w:val="6"/>
        <w:numId w:val="25"/>
      </w:numPr>
      <w:outlineLvl w:val="6"/>
    </w:pPr>
    <w:rPr/>
  </w:style>
  <w:style w:type="paragraph" w:styleId="P8">
    <w:name w:val="heading 8"/>
    <w:basedOn w:val="P7"/>
    <w:next w:val="P0"/>
    <w:link w:val="C19"/>
    <w:qFormat/>
    <w:pPr>
      <w:numPr>
        <w:numId w:val="0"/>
      </w:numPr>
      <w:tabs>
        <w:tab w:val="left" w:pos="5040" w:leader="none"/>
      </w:tabs>
      <w:ind w:hanging="720" w:left="5040"/>
      <w:outlineLvl w:val="7"/>
    </w:pPr>
    <w:rPr/>
  </w:style>
  <w:style w:type="paragraph" w:styleId="P9">
    <w:name w:val="heading 9"/>
    <w:basedOn w:val="P8"/>
    <w:next w:val="P0"/>
    <w:link w:val="C20"/>
    <w:qFormat/>
    <w:pPr>
      <w:tabs>
        <w:tab w:val="clear" w:pos="5040" w:leader="none"/>
        <w:tab w:val="left" w:pos="5760" w:leader="none"/>
      </w:tabs>
      <w:ind w:left="5760"/>
      <w:outlineLvl w:val="8"/>
    </w:pPr>
    <w:rPr/>
  </w:style>
  <w:style w:type="paragraph" w:styleId="P10">
    <w:name w:val="Body Text"/>
    <w:basedOn w:val="P0"/>
    <w:link w:val="C11"/>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21"/>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10"/>
    <w:pPr>
      <w:spacing w:before="0" w:beforeAutospacing="0" w:afterAutospacing="0"/>
    </w:pPr>
    <w:rPr>
      <w:rFonts w:ascii="Book Antiqua" w:hAnsi="Book Antiqua"/>
      <w:b w:val="1"/>
      <w:sz w:val="20"/>
    </w:rPr>
  </w:style>
  <w:style w:type="paragraph" w:styleId="P49">
    <w:name w:val="Table Paragraph"/>
    <w:basedOn w:val="P0"/>
    <w:pPr/>
    <w:rPr>
      <w:rFonts w:ascii="Times New Roman" w:hAnsi="Times New Roman"/>
      <w:sz w:val="24"/>
    </w:rPr>
  </w:style>
  <w:style w:type="paragraph" w:styleId="P50">
    <w:name w:val="Revision"/>
    <w:hidden/>
    <w:semiHidden/>
    <w:pPr/>
    <w:rPr>
      <w:rFonts w:ascii="Book Antiqua" w:hAnsi="Book Antiqua"/>
    </w:rPr>
  </w:style>
  <w:style w:type="paragraph" w:styleId="P51">
    <w:name w:val="2015.04.21_specs"/>
    <w:basedOn w:val="P1"/>
    <w:link w:val="C12"/>
    <w:qFormat/>
    <w:pPr>
      <w:numPr>
        <w:numId w:val="0"/>
      </w:numPr>
      <w:tabs>
        <w:tab w:val="left" w:pos="720" w:leader="none"/>
      </w:tabs>
      <w:ind w:hanging="720" w:left="720"/>
    </w:pPr>
    <w:rPr/>
  </w:style>
  <w:style w:type="paragraph" w:styleId="P52">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1"/>
    <w:rPr/>
  </w:style>
  <w:style w:type="character" w:styleId="C8">
    <w:name w:val="Heading 3 Char"/>
    <w:link w:val="P3"/>
    <w:rPr/>
  </w:style>
  <w:style w:type="character" w:styleId="C9">
    <w:name w:val="Comment Text Char"/>
    <w:link w:val="P12"/>
    <w:semiHidden/>
    <w:rPr>
      <w:rFonts w:ascii="Arial" w:hAnsi="Arial"/>
    </w:rPr>
  </w:style>
  <w:style w:type="character" w:styleId="C10">
    <w:name w:val="Comment Subject Char"/>
    <w:link w:val="P48"/>
    <w:rPr>
      <w:rFonts w:ascii="Book Antiqua" w:hAnsi="Book Antiqua"/>
      <w:b w:val="1"/>
      <w:sz w:val="20"/>
    </w:rPr>
  </w:style>
  <w:style w:type="character" w:styleId="C11">
    <w:name w:val="Body Text Char"/>
    <w:link w:val="P10"/>
    <w:rPr/>
  </w:style>
  <w:style w:type="character" w:styleId="C12">
    <w:name w:val="2015.04.21_specs Char"/>
    <w:basedOn w:val="C13"/>
    <w:link w:val="P51"/>
    <w:rPr/>
  </w:style>
  <w:style w:type="character" w:styleId="C13">
    <w:name w:val="Heading 1 Char"/>
    <w:basedOn w:val="C0"/>
    <w:link w:val="P1"/>
    <w:rPr/>
  </w:style>
  <w:style w:type="character" w:styleId="C14">
    <w:name w:val="Heading 2 Char"/>
    <w:link w:val="P2"/>
    <w:rPr>
      <w:u w:val="single"/>
    </w:rPr>
  </w:style>
  <w:style w:type="character" w:styleId="C15">
    <w:name w:val="Heading 4 Char"/>
    <w:basedOn w:val="C0"/>
    <w:link w:val="P4"/>
    <w:rPr/>
  </w:style>
  <w:style w:type="character" w:styleId="C16">
    <w:name w:val="Heading 5 Char"/>
    <w:link w:val="P5"/>
    <w:rPr/>
  </w:style>
  <w:style w:type="character" w:styleId="C17">
    <w:name w:val="Heading 6 Char"/>
    <w:link w:val="P6"/>
    <w:rPr/>
  </w:style>
  <w:style w:type="character" w:styleId="C18">
    <w:name w:val="Heading 7 Char"/>
    <w:link w:val="P7"/>
    <w:rPr/>
  </w:style>
  <w:style w:type="character" w:styleId="C19">
    <w:name w:val="Heading 8 Char"/>
    <w:basedOn w:val="C0"/>
    <w:link w:val="P8"/>
    <w:rPr/>
  </w:style>
  <w:style w:type="character" w:styleId="C20">
    <w:name w:val="Heading 9 Char"/>
    <w:basedOn w:val="C0"/>
    <w:link w:val="P9"/>
    <w:rPr/>
  </w:style>
  <w:style w:type="character" w:styleId="C21">
    <w:name w:val="Title Char"/>
    <w:basedOn w:val="C0"/>
    <w:link w:val="P30"/>
    <w:rPr>
      <w:rFonts w:ascii="Arial Narrow" w:hAnsi="Arial Narrow"/>
      <w:b w:val="1"/>
    </w:rPr>
  </w:style>
  <w:style w:type="character" w:styleId="C22">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2018-11-20T14:12:00Z</dcterms:created>
  <cp:lastModifiedBy>Ray</cp:lastModifiedBy>
  <cp:lastPrinted>2015-04-07T18:13:00Z</cp:lastPrinted>
  <dcterms:modified xsi:type="dcterms:W3CDTF">2022-10-04T19:38:50Z</dcterms:modified>
  <cp:revision>3</cp:revision>
  <dc:title>02260_Excavation_Support_Systems (Dec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ItemGuid">
    <vt:lpwstr>b019aeab-d28f-4524-b978-fdce866e857d</vt:lpwstr>
  </property>
  <property fmtid="{D5CDD505-2E9C-101B-9397-08002B2CF9AE}" pid="5" name="Order">
    <vt:r8>238800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Works/02260 Excavation Support Systems.docx</vt:lpwstr>
  </property>
  <property fmtid="{D5CDD505-2E9C-101B-9397-08002B2CF9AE}" pid="8" name="TemplateUrl">
    <vt:lpwstr/>
  </property>
</Properties>
</file>