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F4100E" Type="http://schemas.openxmlformats.org/officeDocument/2006/relationships/officeDocument" Target="/word/document.xml" /><Relationship Id="coreR6F4100E" Type="http://schemas.openxmlformats.org/package/2006/relationships/metadata/core-properties" Target="/docProps/core.xml" /><Relationship Id="customR6F410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97"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546"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16, 2007</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11, 2009</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4,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28,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11,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by AV</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297"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546"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Section revised based on OPSS 403 (AAM)</w:t>
            </w:r>
          </w:p>
        </w:tc>
      </w:tr>
    </w:tbl>
    <w:p>
      <w:pPr>
        <w:pStyle w:val="P34"/>
        <w:numPr>
          <w:ilvl w:val="0"/>
          <w:numId w:val="0"/>
        </w:numPr>
      </w:pPr>
    </w:p>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1"/>
      </w:pPr>
    </w:p>
    <w:p>
      <w:pPr>
        <w:pStyle w:val="P34"/>
      </w:pPr>
      <w:r>
        <w:br w:type="page"/>
        <w:t>General</w:t>
      </w:r>
    </w:p>
    <w:p>
      <w:pPr>
        <w:pStyle w:val="P35"/>
      </w:pPr>
      <w:r>
        <w:t>Section Includes</w:t>
      </w:r>
    </w:p>
    <w:p>
      <w:pPr>
        <w:pStyle w:val="P36"/>
      </w:pPr>
      <w:r>
        <w:t>Work required in order to remove rock from excavations.</w:t>
      </w:r>
    </w:p>
    <w:p>
      <w:pPr>
        <w:pStyle w:val="P36"/>
      </w:pPr>
      <w:r>
        <w:t>Classification of Rock Excavation.</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rPr>
          <w:highlight w:val="yellow"/>
        </w:rPr>
      </w:pPr>
    </w:p>
    <w:p>
      <w:pPr>
        <w:pStyle w:val="P36"/>
        <w:numPr>
          <w:ilvl w:val="2"/>
          <w:numId w:val="0"/>
        </w:numPr>
        <w:ind w:left="720"/>
      </w:pPr>
      <w:r>
        <w:rPr>
          <w:highlight w:val="yellow"/>
        </w:rPr>
        <w:t>[List Sections specifying products installed but not supplied under this Section and indicate specific items.]</w:t>
      </w:r>
    </w:p>
    <w:p>
      <w:pPr>
        <w:pStyle w:val="P36"/>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 xml:space="preserve">[______ – ____________]:  [Optional short phrase indicating relationship].</w:t>
      </w:r>
    </w:p>
    <w:p>
      <w:pPr>
        <w:pStyle w:val="P37"/>
        <w:rPr>
          <w:highlight w:val="yellow"/>
        </w:rPr>
      </w:pPr>
      <w:r>
        <w:rPr>
          <w:highlight w:val="yellow"/>
        </w:rPr>
        <w:t>Section 01351 – Health and Safety</w:t>
      </w:r>
    </w:p>
    <w:p>
      <w:pPr>
        <w:pStyle w:val="P37"/>
        <w:rPr>
          <w:highlight w:val="yellow"/>
        </w:rPr>
      </w:pPr>
      <w:r>
        <w:rPr>
          <w:highlight w:val="yellow"/>
        </w:rPr>
        <w:t>Section 02315 – Excavation, Trenching and Backfilling</w:t>
      </w:r>
    </w:p>
    <w:p>
      <w:pPr>
        <w:pStyle w:val="P35"/>
      </w:pPr>
      <w:r>
        <w:t>References</w:t>
      </w:r>
    </w:p>
    <w:p>
      <w:pPr>
        <w:pStyle w:val="P36"/>
      </w:pPr>
      <w:r>
        <w:t>Ontario Provincial Standards for Roads and Public Works (OPSS)</w:t>
      </w:r>
    </w:p>
    <w:p>
      <w:pPr>
        <w:pStyle w:val="P37"/>
      </w:pPr>
      <w:r>
        <w:t>OPSS 403 Rock Excavation for Pipelines, Utilities and Associated Structures in Open Cut (Nov 2010)</w:t>
      </w:r>
    </w:p>
    <w:p>
      <w:pPr>
        <w:pStyle w:val="P35"/>
      </w:pPr>
      <w:r>
        <w:t>Definitions</w:t>
      </w:r>
    </w:p>
    <w:p>
      <w:pPr>
        <w:pStyle w:val="P36"/>
      </w:pPr>
      <w:r>
        <w:t>OPSS 403 shall be followed with the following amendments:</w:t>
      </w:r>
    </w:p>
    <w:p>
      <w:pPr>
        <w:pStyle w:val="P39"/>
        <w:ind w:hanging="2070" w:left="2160"/>
      </w:pPr>
      <w:r>
        <w:tab/>
        <w:t xml:space="preserve">403.03  Definitions </w:t>
      </w:r>
      <w:r>
        <w:rPr>
          <w:b w:val="0"/>
        </w:rPr>
        <w:t xml:space="preserve">is amended by </w:t>
      </w:r>
      <w:r>
        <w:rPr>
          <w:b w:val="0"/>
        </w:rPr>
        <w:t xml:space="preserve">deleting </w:t>
      </w:r>
      <w:r>
        <w:rPr>
          <w:b w:val="0"/>
        </w:rPr>
        <w:t xml:space="preserve">the </w:t>
      </w:r>
      <w:r>
        <w:rPr>
          <w:b w:val="0"/>
        </w:rPr>
        <w:t>definition of “Rock” and replacing it with the following</w:t>
      </w:r>
      <w:r>
        <w:rPr>
          <w:b w:val="0"/>
        </w:rPr>
        <w:t>:</w:t>
      </w:r>
    </w:p>
    <w:p>
      <w:pPr>
        <w:pStyle w:val="P46"/>
        <w:numPr>
          <w:ilvl w:val="4"/>
          <w:numId w:val="0"/>
        </w:numPr>
        <w:ind w:left="2880"/>
      </w:pPr>
      <w:r>
        <w:rPr>
          <w:b w:val="1"/>
        </w:rPr>
        <w:t>Rock:</w:t>
      </w:r>
      <w:r>
        <w:t xml:space="preserve"> means rock as defined in OPSS206. Frozen material not classified as rock.</w:t>
      </w:r>
    </w:p>
    <w:p>
      <w:pPr>
        <w:pStyle w:val="P39"/>
      </w:pPr>
      <w:r>
        <w:tab/>
        <w:t>403.03</w:t>
        <w:tab/>
        <w:t xml:space="preserve">Definitions </w:t>
      </w:r>
      <w:r>
        <w:rPr>
          <w:b w:val="0"/>
        </w:rPr>
        <w:t xml:space="preserve">is amended by the </w:t>
      </w:r>
      <w:r>
        <w:rPr>
          <w:b w:val="0"/>
        </w:rPr>
        <w:t>addition of the following</w:t>
      </w:r>
      <w:r>
        <w:rPr>
          <w:b w:val="0"/>
        </w:rPr>
        <w:t>:</w:t>
      </w:r>
    </w:p>
    <w:p>
      <w:pPr>
        <w:pStyle w:val="P46"/>
        <w:numPr>
          <w:ilvl w:val="4"/>
          <w:numId w:val="0"/>
        </w:numPr>
        <w:ind w:left="2880"/>
      </w:pPr>
      <w:r>
        <w:rPr>
          <w:b w:val="1"/>
        </w:rPr>
        <w:t>Common Excavation:</w:t>
      </w:r>
      <w:r>
        <w:t xml:space="preserve"> Excavation of materials of whatever nature, which are not included under the definitions of rock excavation.</w:t>
      </w:r>
    </w:p>
    <w:p>
      <w:pPr>
        <w:pStyle w:val="P34"/>
      </w:pPr>
      <w:r>
        <w:t>PRODUCTS (NOT USED)</w:t>
      </w:r>
    </w:p>
    <w:p>
      <w:pPr>
        <w:pStyle w:val="P34"/>
      </w:pPr>
      <w:r>
        <w:t>EXECUTION</w:t>
      </w:r>
    </w:p>
    <w:p>
      <w:pPr>
        <w:pStyle w:val="P35"/>
        <w:rPr>
          <w:u w:val="none"/>
        </w:rPr>
      </w:pPr>
      <w:r>
        <w:rPr>
          <w:u w:val="none"/>
        </w:rPr>
        <w:t>OPSS 403 shall be followed with the following amendments:</w:t>
      </w:r>
    </w:p>
    <w:p>
      <w:pPr>
        <w:pStyle w:val="P39"/>
      </w:pPr>
      <w:r>
        <w:t xml:space="preserve">403.07.02 </w:t>
        <w:tab/>
        <w:t xml:space="preserve">Use of Explosives </w:t>
      </w:r>
      <w:r>
        <w:rPr>
          <w:b w:val="0"/>
        </w:rPr>
        <w:t>is amended by the addition of the following:</w:t>
      </w:r>
    </w:p>
    <w:p>
      <w:pPr>
        <w:pStyle w:val="P46"/>
        <w:numPr>
          <w:ilvl w:val="4"/>
          <w:numId w:val="0"/>
        </w:numPr>
        <w:ind w:hanging="720" w:left="2880"/>
      </w:pPr>
    </w:p>
    <w:p>
      <w:pPr>
        <w:pStyle w:val="P46"/>
        <w:numPr>
          <w:ilvl w:val="4"/>
          <w:numId w:val="0"/>
        </w:numPr>
        <w:ind w:hanging="720" w:left="2880"/>
      </w:pPr>
      <w:r>
        <w:t>The use of explosives is not permitted.</w:t>
      </w:r>
    </w:p>
    <w:p>
      <w:pPr>
        <w:pStyle w:val="P39"/>
      </w:pPr>
      <w:r>
        <w:t xml:space="preserve">403.07.03         Management of Excess Material </w:t>
      </w:r>
      <w:r>
        <w:rPr>
          <w:b w:val="0"/>
        </w:rPr>
        <w:t>is amended by the addition of the following:</w:t>
      </w:r>
    </w:p>
    <w:p>
      <w:pPr>
        <w:pStyle w:val="P46"/>
        <w:numPr>
          <w:ilvl w:val="4"/>
          <w:numId w:val="0"/>
        </w:numPr>
        <w:ind w:hanging="720" w:left="2880"/>
      </w:pPr>
    </w:p>
    <w:p>
      <w:pPr>
        <w:pStyle w:val="P46"/>
        <w:numPr>
          <w:ilvl w:val="4"/>
          <w:numId w:val="0"/>
        </w:numPr>
        <w:ind w:hanging="720" w:left="2880"/>
      </w:pPr>
      <w:r>
        <w:t>Dispose of any surplus, removed rock, off Site.</w:t>
      </w:r>
    </w:p>
    <w:p>
      <w:pPr>
        <w:pStyle w:val="P46"/>
        <w:numPr>
          <w:ilvl w:val="4"/>
          <w:numId w:val="0"/>
        </w:numPr>
        <w:ind w:hanging="720" w:left="2880"/>
      </w:pPr>
      <w:r>
        <w:rPr>
          <w:rStyle w:val="C20"/>
        </w:rPr>
        <w:t>The Unit Price shall include</w:t>
      </w:r>
      <w:r>
        <w:t xml:space="preserve"> the transport off Site and disposal of Rock removed.</w:t>
      </w:r>
    </w:p>
    <w:p>
      <w:pPr>
        <w:pStyle w:val="P35"/>
      </w:pPr>
      <w:r>
        <w:t>Protection</w:t>
      </w:r>
    </w:p>
    <w:p>
      <w:pPr>
        <w:pStyle w:val="P36"/>
      </w:pPr>
      <w:r>
        <w:t>Prevent damage to surroundings and injury to persons.</w:t>
      </w:r>
    </w:p>
    <w:p>
      <w:pPr>
        <w:pStyle w:val="P35"/>
      </w:pPr>
      <w:r>
        <w:t>Rock Removal</w:t>
      </w:r>
    </w:p>
    <w:p>
      <w:pPr>
        <w:pStyle w:val="P36"/>
        <w:spacing w:before="80"/>
        <w:contextualSpacing w:val="0"/>
      </w:pPr>
      <w:r>
        <w:t>Remove rock in accordance with the alignments, profiles, and cross sections indicated on the Contract Drawings.</w:t>
      </w:r>
    </w:p>
    <w:p>
      <w:pPr>
        <w:pStyle w:val="P36"/>
        <w:spacing w:before="80"/>
        <w:contextualSpacing w:val="0"/>
      </w:pPr>
      <w:r>
        <w:t>Use rock removal procedures to produce uniform and stable excavation surfaces. Minimize overbreak in order to avoid damage to adjacent structures.</w:t>
      </w:r>
    </w:p>
    <w:p>
      <w:pPr>
        <w:pStyle w:val="P36"/>
        <w:spacing w:before="80"/>
        <w:contextualSpacing w:val="0"/>
      </w:pPr>
      <w:r>
        <w:t>Scale, pressure wash and broom clean all rock surfaces that are to bond to concrete.</w:t>
      </w:r>
    </w:p>
    <w:p>
      <w:pPr>
        <w:pStyle w:val="P36"/>
        <w:spacing w:before="80"/>
        <w:contextualSpacing w:val="0"/>
      </w:pPr>
      <w:r>
        <w:t>Excavate trenches to lines and grades a minimum of 150 mm below the pipe invert(s) indicated on the Contract Drawings. Provide recesses for bell and spigot pipe to ensure that the bearing will occur uniformly along the barrel of the pipe.</w:t>
      </w:r>
    </w:p>
    <w:p>
      <w:pPr>
        <w:pStyle w:val="P36"/>
        <w:spacing w:before="80"/>
        <w:contextualSpacing w:val="0"/>
      </w:pPr>
      <w:r>
        <w:t>Cut trenches to the widths as indicated on the Contract Drawings.</w:t>
      </w:r>
    </w:p>
    <w:p>
      <w:pPr>
        <w:pStyle w:val="P36"/>
        <w:spacing w:before="80"/>
        <w:contextualSpacing w:val="0"/>
      </w:pPr>
      <w:r>
        <w:t>Remove boulders and fragments that may slide or roll into the excavated areas.</w:t>
      </w:r>
    </w:p>
    <w:p>
      <w:pPr>
        <w:pStyle w:val="P36"/>
        <w:spacing w:before="80"/>
        <w:contextualSpacing w:val="0"/>
      </w:pPr>
      <w:r>
        <w:t xml:space="preserve">Correct unauthorized rock removal at no extra cost to the Region, in accordance with the backfilling requirements specified in </w:t>
      </w:r>
      <w:r>
        <w:rPr>
          <w:highlight w:val="yellow"/>
        </w:rPr>
        <w:t>Section 02315 - Excavation, Trenching and Backfilling</w:t>
      </w:r>
      <w:r>
        <w:t>.</w:t>
      </w:r>
    </w:p>
    <w:p>
      <w:pPr>
        <w:pStyle w:val="P36"/>
        <w:spacing w:before="80"/>
        <w:contextualSpacing w:val="0"/>
      </w:pPr>
      <w:r>
        <w:t xml:space="preserve">Co-ordinate this Section with the requirements of </w:t>
      </w:r>
      <w:r>
        <w:rPr>
          <w:highlight w:val="yellow"/>
        </w:rPr>
        <w:t>Section 01351 - Health and Safety.</w:t>
      </w:r>
    </w:p>
    <w:p>
      <w:pPr>
        <w:pStyle w:val="P18"/>
        <w:spacing w:before="240"/>
        <w:jc w:val="center"/>
        <w:rPr>
          <w:rFonts w:ascii="Calibri" w:hAnsi="Calibri"/>
          <w:sz w:val="22"/>
        </w:rPr>
      </w:pPr>
      <w:r>
        <w:rPr>
          <w:rFonts w:ascii="Calibri" w:hAnsi="Calibri"/>
          <w:b w:val="1"/>
          <w:sz w:val="22"/>
        </w:rPr>
        <w:t>END OF SECTION</w:t>
      </w:r>
    </w:p>
    <w:p>
      <w:pPr>
        <w:pStyle w:val="P35"/>
        <w:numPr>
          <w:ilvl w:val="1"/>
          <w:numId w:val="0"/>
        </w:numPr>
        <w:ind w:left="576"/>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ROCK REMOVAL</w:t>
    </w:r>
    <w:r>
      <w:rPr>
        <w:rFonts w:ascii="Arial" w:hAnsi="Arial"/>
      </w:rPr>
      <w:tab/>
      <w:t>2012-06-28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Region Number]</w:t>
    </w:r>
    <w:r>
      <w:tab/>
      <w:t>Section 02316</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ROCK REMOVAL</w:t>
    </w:r>
    <w:r>
      <w:tab/>
      <w:t>2016-03-21</w:t>
    </w:r>
  </w:p>
  <w:p>
    <w:pPr>
      <w:pBdr>
        <w:top w:val="single" w:sz="4" w:space="0" w:shadow="0" w:frame="0"/>
      </w:pBdr>
      <w:tabs>
        <w:tab w:val="center" w:pos="5175" w:leader="none"/>
        <w:tab w:val="right" w:pos="981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Section 02316</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2016-03-21</w:t>
    </w:r>
    <w:r>
      <w:rPr>
        <w:b w:val="1"/>
      </w:rPr>
      <w:tab/>
      <w:t>ROCK REMOVAL</w:t>
    </w:r>
    <w:r>
      <w:tab/>
    </w:r>
  </w:p>
  <w:p>
    <w:pPr>
      <w:pBdr>
        <w:top w:val="single" w:sz="4"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tab/>
    </w:r>
  </w:p>
  <w:p>
    <w:pPr>
      <w:pStyle w:val="P7"/>
    </w:pPr>
  </w:p>
</w:hdr>
</file>

<file path=word/numbering.xml><?xml version="1.0" encoding="utf-8"?>
<w:numbering xmlns:w="http://schemas.openxmlformats.org/wordprocessingml/2006/main">
  <w:abstractNum w:abstractNumId="0">
    <w:nsid w:val="FFFFFF89"/>
    <w:multiLevelType w:val="hybridMultilevel"/>
    <w:lvl w:ilvl="0" w:tplc="7C0ACBF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440DA5"/>
    <w:multiLevelType w:val="hybridMultilevel"/>
    <w:lvl w:ilvl="0" w:tplc="1FC14284">
      <w:start w:val="1"/>
      <w:numFmt w:val="bullet"/>
      <w:suff w:val="tab"/>
      <w:lvlText w:val=""/>
      <w:lvlJc w:val="left"/>
      <w:pPr>
        <w:ind w:hanging="360" w:left="720"/>
        <w:tabs>
          <w:tab w:val="left" w:pos="720" w:leader="none"/>
        </w:tabs>
      </w:pPr>
      <w:rPr>
        <w:rFonts w:ascii="Symbol" w:hAnsi="Symbol"/>
      </w:rPr>
    </w:lvl>
    <w:lvl w:ilvl="1" w:tplc="5453A3A3">
      <w:start w:val="1"/>
      <w:numFmt w:val="bullet"/>
      <w:suff w:val="tab"/>
      <w:lvlText w:val="o"/>
      <w:lvlJc w:val="left"/>
      <w:pPr>
        <w:ind w:hanging="360" w:left="1440"/>
        <w:tabs>
          <w:tab w:val="left" w:pos="1440" w:leader="none"/>
        </w:tabs>
      </w:pPr>
      <w:rPr>
        <w:rFonts w:ascii="Courier New" w:hAnsi="Courier New"/>
      </w:rPr>
    </w:lvl>
    <w:lvl w:ilvl="2" w:tplc="55B0AB6F">
      <w:start w:val="1"/>
      <w:numFmt w:val="bullet"/>
      <w:suff w:val="tab"/>
      <w:lvlText w:val=""/>
      <w:lvlJc w:val="left"/>
      <w:pPr>
        <w:ind w:hanging="360" w:left="2160"/>
        <w:tabs>
          <w:tab w:val="left" w:pos="2160" w:leader="none"/>
        </w:tabs>
      </w:pPr>
      <w:rPr>
        <w:rFonts w:ascii="Wingdings" w:hAnsi="Wingdings"/>
      </w:rPr>
    </w:lvl>
    <w:lvl w:ilvl="3" w:tplc="399A3B25">
      <w:start w:val="1"/>
      <w:numFmt w:val="bullet"/>
      <w:suff w:val="tab"/>
      <w:lvlText w:val=""/>
      <w:lvlJc w:val="left"/>
      <w:pPr>
        <w:ind w:hanging="360" w:left="2880"/>
        <w:tabs>
          <w:tab w:val="left" w:pos="2880" w:leader="none"/>
        </w:tabs>
      </w:pPr>
      <w:rPr>
        <w:rFonts w:ascii="Symbol" w:hAnsi="Symbol"/>
      </w:rPr>
    </w:lvl>
    <w:lvl w:ilvl="4" w:tplc="243ED314">
      <w:start w:val="1"/>
      <w:numFmt w:val="bullet"/>
      <w:suff w:val="tab"/>
      <w:lvlText w:val="o"/>
      <w:lvlJc w:val="left"/>
      <w:pPr>
        <w:ind w:hanging="360" w:left="3600"/>
        <w:tabs>
          <w:tab w:val="left" w:pos="3600" w:leader="none"/>
        </w:tabs>
      </w:pPr>
      <w:rPr>
        <w:rFonts w:ascii="Courier New" w:hAnsi="Courier New"/>
      </w:rPr>
    </w:lvl>
    <w:lvl w:ilvl="5" w:tplc="230DE75C">
      <w:start w:val="1"/>
      <w:numFmt w:val="bullet"/>
      <w:suff w:val="tab"/>
      <w:lvlText w:val=""/>
      <w:lvlJc w:val="left"/>
      <w:pPr>
        <w:ind w:hanging="360" w:left="4320"/>
        <w:tabs>
          <w:tab w:val="left" w:pos="4320" w:leader="none"/>
        </w:tabs>
      </w:pPr>
      <w:rPr>
        <w:rFonts w:ascii="Wingdings" w:hAnsi="Wingdings"/>
      </w:rPr>
    </w:lvl>
    <w:lvl w:ilvl="6" w:tplc="05537074">
      <w:start w:val="1"/>
      <w:numFmt w:val="bullet"/>
      <w:suff w:val="tab"/>
      <w:lvlText w:val=""/>
      <w:lvlJc w:val="left"/>
      <w:pPr>
        <w:ind w:hanging="360" w:left="5040"/>
        <w:tabs>
          <w:tab w:val="left" w:pos="5040" w:leader="none"/>
        </w:tabs>
      </w:pPr>
      <w:rPr>
        <w:rFonts w:ascii="Symbol" w:hAnsi="Symbol"/>
      </w:rPr>
    </w:lvl>
    <w:lvl w:ilvl="7" w:tplc="78B57962">
      <w:start w:val="1"/>
      <w:numFmt w:val="bullet"/>
      <w:suff w:val="tab"/>
      <w:lvlText w:val="o"/>
      <w:lvlJc w:val="left"/>
      <w:pPr>
        <w:ind w:hanging="360" w:left="5760"/>
        <w:tabs>
          <w:tab w:val="left" w:pos="5760" w:leader="none"/>
        </w:tabs>
      </w:pPr>
      <w:rPr>
        <w:rFonts w:ascii="Courier New" w:hAnsi="Courier New"/>
      </w:rPr>
    </w:lvl>
    <w:lvl w:ilvl="8" w:tplc="7BC076CD">
      <w:start w:val="1"/>
      <w:numFmt w:val="bullet"/>
      <w:suff w:val="tab"/>
      <w:lvlText w:val=""/>
      <w:lvlJc w:val="left"/>
      <w:pPr>
        <w:ind w:hanging="360" w:left="6480"/>
        <w:tabs>
          <w:tab w:val="left" w:pos="6480" w:leader="none"/>
        </w:tabs>
      </w:pPr>
      <w:rPr>
        <w:rFonts w:ascii="Wingdings" w:hAnsi="Wingdings"/>
      </w:rPr>
    </w:lvl>
  </w:abstractNum>
  <w:abstractNum w:abstractNumId="2">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3"/>
  </w:num>
  <w:num w:numId="9">
    <w:abstractNumId w:val="11"/>
  </w:num>
  <w:num w:numId="10">
    <w:abstractNumId w:val="6"/>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2"/>
  </w:num>
  <w:num w:numId="5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Plain Text"/>
    <w:basedOn w:val="P0"/>
    <w:next w:val="P23"/>
    <w:link w:val="C18"/>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50"/>
      </w:numPr>
      <w:spacing w:before="160"/>
      <w:outlineLvl w:val="0"/>
    </w:pPr>
    <w:rPr>
      <w:caps w:val="1"/>
    </w:rPr>
  </w:style>
  <w:style w:type="paragraph" w:styleId="P35">
    <w:name w:val="Heading 2"/>
    <w:basedOn w:val="P22"/>
    <w:next w:val="P0"/>
    <w:link w:val="C9"/>
    <w:qFormat/>
    <w:pPr>
      <w:numPr>
        <w:ilvl w:val="1"/>
        <w:numId w:val="50"/>
      </w:numPr>
      <w:spacing w:before="80"/>
      <w:outlineLvl w:val="1"/>
    </w:pPr>
    <w:rPr>
      <w:u w:val="single"/>
    </w:rPr>
  </w:style>
  <w:style w:type="paragraph" w:styleId="P36">
    <w:name w:val="Heading 3"/>
    <w:basedOn w:val="P22"/>
    <w:next w:val="P36"/>
    <w:link w:val="C7"/>
    <w:qFormat/>
    <w:pPr>
      <w:numPr>
        <w:ilvl w:val="2"/>
        <w:numId w:val="50"/>
      </w:numPr>
      <w:tabs>
        <w:tab w:val="clear" w:pos="1350" w:leader="none"/>
      </w:tabs>
      <w:ind w:left="1440"/>
      <w:outlineLvl w:val="2"/>
    </w:pPr>
    <w:rPr/>
  </w:style>
  <w:style w:type="paragraph" w:styleId="P37">
    <w:name w:val="Heading 4"/>
    <w:basedOn w:val="P22"/>
    <w:next w:val="P37"/>
    <w:link w:val="C10"/>
    <w:qFormat/>
    <w:pPr>
      <w:numPr>
        <w:ilvl w:val="3"/>
        <w:numId w:val="50"/>
      </w:numPr>
      <w:outlineLvl w:val="3"/>
    </w:pPr>
    <w:rPr/>
  </w:style>
  <w:style w:type="paragraph" w:styleId="P38">
    <w:name w:val="Heading 7"/>
    <w:basedOn w:val="P22"/>
    <w:next w:val="P0"/>
    <w:link w:val="C13"/>
    <w:qFormat/>
    <w:pPr>
      <w:numPr>
        <w:ilvl w:val="6"/>
        <w:numId w:val="50"/>
      </w:numPr>
      <w:outlineLvl w:val="6"/>
    </w:pPr>
    <w:rPr>
      <w:sz w:val="20"/>
    </w:rPr>
  </w:style>
  <w:style w:type="paragraph" w:styleId="P39">
    <w:name w:val="OPSS1"/>
    <w:basedOn w:val="P23"/>
    <w:next w:val="P39"/>
    <w:link w:val="C19"/>
    <w:qFormat/>
    <w:pPr>
      <w:tabs>
        <w:tab w:val="left" w:pos="1440" w:leader="none"/>
      </w:tabs>
      <w:spacing w:before="80"/>
      <w:ind w:firstLine="806"/>
      <w:jc w:val="both"/>
    </w:pPr>
    <w:rPr>
      <w:rFonts w:ascii="Calibri" w:hAnsi="Calibri"/>
      <w:b w:val="1"/>
      <w:sz w:val="22"/>
    </w:rPr>
  </w:style>
  <w:style w:type="paragraph" w:styleId="P40">
    <w:name w:val="List Bullet"/>
    <w:basedOn w:val="P24"/>
    <w:next w:val="P40"/>
    <w:pPr>
      <w:numPr>
        <w:numId w:val="2"/>
      </w:numPr>
    </w:pPr>
    <w:rPr/>
  </w:style>
  <w:style w:type="paragraph" w:styleId="P41">
    <w:name w:val="TOC 2"/>
    <w:basedOn w:val="P29"/>
    <w:next w:val="P48"/>
    <w:pPr>
      <w:tabs>
        <w:tab w:val="left" w:pos="1008" w:leader="none"/>
      </w:tabs>
      <w:ind w:left="720"/>
    </w:pPr>
    <w:rPr>
      <w:b w:val="0"/>
    </w:rPr>
  </w:style>
  <w:style w:type="paragraph" w:styleId="P42">
    <w:name w:val="Exhibit--Title"/>
    <w:basedOn w:val="P32"/>
    <w:next w:val="P49"/>
    <w:pPr>
      <w:spacing w:before="0"/>
    </w:pPr>
    <w:rPr>
      <w:b w:val="1"/>
      <w:caps w:val="0"/>
      <w:sz w:val="20"/>
    </w:rPr>
  </w:style>
  <w:style w:type="paragraph" w:styleId="P43">
    <w:name w:val="Table Notes"/>
    <w:basedOn w:val="P33"/>
    <w:next w:val="P43"/>
    <w:pPr>
      <w:spacing w:after="320"/>
    </w:pPr>
    <w:rPr/>
  </w:style>
  <w:style w:type="paragraph" w:styleId="P44">
    <w:name w:val="Contents"/>
    <w:basedOn w:val="P34"/>
    <w:next w:val="P1"/>
    <w:pPr/>
    <w:rPr/>
  </w:style>
  <w:style w:type="paragraph" w:styleId="P45">
    <w:name w:val="OPSS2"/>
    <w:basedOn w:val="P36"/>
    <w:next w:val="P45"/>
    <w:link w:val="C20"/>
    <w:qFormat/>
    <w:pPr>
      <w:numPr>
        <w:numId w:val="0"/>
      </w:numPr>
      <w:ind w:firstLine="1530" w:left="630"/>
    </w:pPr>
    <w:rPr/>
  </w:style>
  <w:style w:type="paragraph" w:styleId="P46">
    <w:name w:val="Heading 5"/>
    <w:basedOn w:val="P37"/>
    <w:next w:val="P46"/>
    <w:link w:val="C11"/>
    <w:qFormat/>
    <w:pPr>
      <w:numPr>
        <w:ilvl w:val="4"/>
      </w:numPr>
      <w:outlineLvl w:val="4"/>
    </w:pPr>
    <w:rPr/>
  </w:style>
  <w:style w:type="paragraph" w:styleId="P47">
    <w:name w:val="Heading 8"/>
    <w:basedOn w:val="P38"/>
    <w:next w:val="P0"/>
    <w:link w:val="C14"/>
    <w:qFormat/>
    <w:pPr>
      <w:numPr>
        <w:ilvl w:val="7"/>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1"/>
    <w:pPr/>
    <w:rPr>
      <w:i w:val="1"/>
    </w:rPr>
  </w:style>
  <w:style w:type="paragraph" w:styleId="P50">
    <w:name w:val="Heading 6"/>
    <w:basedOn w:val="P46"/>
    <w:next w:val="P0"/>
    <w:link w:val="C12"/>
    <w:qFormat/>
    <w:pPr>
      <w:numPr>
        <w:ilvl w:val="5"/>
      </w:numPr>
      <w:outlineLvl w:val="5"/>
    </w:pPr>
    <w:rPr/>
  </w:style>
  <w:style w:type="paragraph" w:styleId="P51">
    <w:name w:val="Heading 9"/>
    <w:basedOn w:val="P47"/>
    <w:next w:val="P0"/>
    <w:link w:val="C15"/>
    <w:qFormat/>
    <w:pPr>
      <w:numPr>
        <w:ilvl w:val="8"/>
      </w:numPr>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36"/>
    <w:rPr/>
  </w:style>
  <w:style w:type="character" w:styleId="C8">
    <w:name w:val="Heading 1 Char"/>
    <w:link w:val="P34"/>
    <w:rPr>
      <w:caps w:val="1"/>
    </w:rPr>
  </w:style>
  <w:style w:type="character" w:styleId="C9">
    <w:name w:val="Heading 2 Char"/>
    <w:link w:val="P35"/>
    <w:rPr>
      <w:u w:val="single"/>
    </w:rPr>
  </w:style>
  <w:style w:type="character" w:styleId="C10">
    <w:name w:val="Heading 4 Char"/>
    <w:link w:val="P37"/>
    <w:rPr/>
  </w:style>
  <w:style w:type="character" w:styleId="C11">
    <w:name w:val="Heading 5 Char"/>
    <w:link w:val="P46"/>
    <w:rPr/>
  </w:style>
  <w:style w:type="character" w:styleId="C12">
    <w:name w:val="Heading 6 Char"/>
    <w:link w:val="P50"/>
    <w:rPr/>
  </w:style>
  <w:style w:type="character" w:styleId="C13">
    <w:name w:val="Heading 7 Char"/>
    <w:link w:val="P38"/>
    <w:rPr>
      <w:sz w:val="20"/>
    </w:rPr>
  </w:style>
  <w:style w:type="character" w:styleId="C14">
    <w:name w:val="Heading 8 Char"/>
    <w:link w:val="P47"/>
    <w:rPr/>
  </w:style>
  <w:style w:type="character" w:styleId="C15">
    <w:name w:val="Heading 9 Char"/>
    <w:link w:val="P51"/>
    <w:rPr/>
  </w:style>
  <w:style w:type="character" w:styleId="C16">
    <w:name w:val="Title Char"/>
    <w:link w:val="P10"/>
    <w:rPr>
      <w:rFonts w:ascii="Arial Narrow" w:hAnsi="Arial Narrow"/>
      <w:b w:val="1"/>
      <w:sz w:val="20"/>
    </w:rPr>
  </w:style>
  <w:style w:type="character" w:styleId="C17">
    <w:name w:val="Strong"/>
    <w:qFormat/>
    <w:rPr>
      <w:b w:val="1"/>
    </w:rPr>
  </w:style>
  <w:style w:type="character" w:styleId="C18">
    <w:name w:val="Plain Text Char"/>
    <w:link w:val="P23"/>
    <w:rPr>
      <w:rFonts w:ascii="Courier New" w:hAnsi="Courier New"/>
      <w:sz w:val="20"/>
    </w:rPr>
  </w:style>
  <w:style w:type="character" w:styleId="C19">
    <w:name w:val="OPSS1 Char"/>
    <w:link w:val="P39"/>
    <w:rPr>
      <w:rFonts w:ascii="Calibri" w:hAnsi="Calibri"/>
      <w:b w:val="1"/>
      <w:sz w:val="22"/>
    </w:rPr>
  </w:style>
  <w:style w:type="character" w:styleId="C20">
    <w:name w:val="OPSS2 Char"/>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2016-03-21T17:35:00Z</dcterms:created>
  <cp:lastModifiedBy>Ray</cp:lastModifiedBy>
  <cp:lastPrinted>2015-05-14T18:44:00Z</cp:lastPrinted>
  <dcterms:modified xsi:type="dcterms:W3CDTF">2022-10-04T19:38:50Z</dcterms:modified>
  <cp:revision>6</cp:revision>
  <dc:title>02316_Rock_Removal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020a1812-668a-4231-94eb-3804e4b8b393</vt:lpwstr>
  </property>
  <property fmtid="{D5CDD505-2E9C-101B-9397-08002B2CF9AE}" pid="5" name="_dlc_DocId">
    <vt:lpwstr>77777-20-2111</vt:lpwstr>
  </property>
  <property fmtid="{D5CDD505-2E9C-101B-9397-08002B2CF9AE}" pid="6" name="_dlc_DocIdUrl">
    <vt:lpwstr>https://mycloud.york.ca/collab/CPDToolKit/_layouts/DocIdRedir.aspx?ID=77777-20-2111, 77777-20-2111</vt:lpwstr>
  </property>
  <property fmtid="{D5CDD505-2E9C-101B-9397-08002B2CF9AE}" pid="7" name="Last Updated">
    <vt:lpwstr>2016-03-20T21:00:00Z</vt:lpwstr>
  </property>
  <property fmtid="{D5CDD505-2E9C-101B-9397-08002B2CF9AE}" pid="8" name="Document Type">
    <vt:lpwstr>Technical Design Specification Templates</vt:lpwstr>
  </property>
  <property fmtid="{D5CDD505-2E9C-101B-9397-08002B2CF9AE}" pid="9" name="URL">
    <vt:lpwstr/>
  </property>
  <property fmtid="{D5CDD505-2E9C-101B-9397-08002B2CF9AE}" pid="10" name="Sort Order">
    <vt:lpwstr/>
  </property>
</Properties>
</file>