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29FBF41" Type="http://schemas.openxmlformats.org/officeDocument/2006/relationships/officeDocument" Target="/word/document.xml" /><Relationship Id="coreR229FBF41" Type="http://schemas.openxmlformats.org/package/2006/relationships/metadata/core-properties" Target="/docProps/core.xml" /><Relationship Id="customR229FBF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80" w:rightFromText="180" w:tblpX="1" w:tblpY="1" w:vertAnchor="text" w:tblpXSpec="center"/>
        <w:tblOverlap w:val="never"/>
        <w:tblW w:w="0" w:type="auto"/>
        <w:tblLayout w:type="fixed"/>
      </w:tblPr>
      <w:tblGrid/>
      <w:tr>
        <w:trPr>
          <w:cantSplit/>
        </w:trPr>
        <w:tc>
          <w:tcPr>
            <w:tcW w:w="100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Version</w:t>
            </w:r>
          </w:p>
        </w:tc>
        <w:tc>
          <w:tcPr>
            <w:tcW w:w="2344"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499"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August 30, 2006</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Approved final document.</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2</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October 16, 2007</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revisions by Legal Services.</w:t>
            </w:r>
          </w:p>
        </w:tc>
      </w:tr>
      <w:tr>
        <w:trPr>
          <w:cantSplit/>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3</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November 13, 2009</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Modified ‘Related Sections’</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4</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March 14, 2011</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changes from Legal</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5</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13, 2012</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Addition of References and Replacement Parts sections on this page</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6</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June 28, 2012</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Reformatted to Remove White Space</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7</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August 6, 2013</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New Format</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8</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November 11, 2013</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First Draft specification update project (AV comments). Includes TW &amp; Newfoundland Labrador specification additions.</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9</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March 10, 2015</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Draft based on OPSS</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10</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29, 2015</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lang w:val="en-US"/>
              </w:rPr>
              <w:t xml:space="preserve"> Legal comments 1</w:t>
            </w:r>
            <w:r>
              <w:rPr>
                <w:rFonts w:ascii="Calibri" w:hAnsi="Calibri"/>
                <w:sz w:val="22"/>
                <w:vertAlign w:val="superscript"/>
                <w:lang w:val="en-US"/>
              </w:rPr>
              <w:t>st</w:t>
            </w:r>
            <w:r>
              <w:rPr>
                <w:rFonts w:ascii="Calibri" w:hAnsi="Calibri"/>
                <w:sz w:val="22"/>
                <w:lang w:val="en-US"/>
              </w:rPr>
              <w:t xml:space="preserve"> review addressed </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11</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October 7, 2015</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US"/>
              </w:rPr>
            </w:pPr>
            <w:r>
              <w:rPr>
                <w:rFonts w:ascii="Calibri" w:hAnsi="Calibri"/>
                <w:sz w:val="22"/>
                <w:lang w:val="en-US"/>
              </w:rPr>
              <w:t>Legal comments 2</w:t>
            </w:r>
            <w:r>
              <w:rPr>
                <w:rFonts w:ascii="Calibri" w:hAnsi="Calibri"/>
                <w:sz w:val="22"/>
                <w:vertAlign w:val="superscript"/>
                <w:lang w:val="en-US"/>
              </w:rPr>
              <w:t>nd</w:t>
            </w:r>
            <w:r>
              <w:rPr>
                <w:rFonts w:ascii="Calibri" w:hAnsi="Calibri"/>
                <w:sz w:val="22"/>
                <w:lang w:val="en-US"/>
              </w:rPr>
              <w:t xml:space="preserve"> review addressed</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12</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February 10, 2016</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US"/>
              </w:rPr>
            </w:pPr>
            <w:r>
              <w:rPr>
                <w:rFonts w:ascii="Calibri" w:hAnsi="Calibri"/>
                <w:sz w:val="22"/>
                <w:lang w:val="en-US"/>
              </w:rPr>
              <w:t>Revised Based on Legal comments #6285464-v3A</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13</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March 21, 2016</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US"/>
              </w:rPr>
            </w:pPr>
            <w:r>
              <w:rPr>
                <w:rFonts w:ascii="Calibri" w:hAnsi="Calibri"/>
                <w:sz w:val="22"/>
                <w:lang w:val="en-US"/>
              </w:rPr>
              <w:t>Section Revised based on OPSS 506 (AAM)</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14</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12, 2017</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US"/>
              </w:rPr>
            </w:pPr>
            <w:r>
              <w:rPr>
                <w:rFonts w:ascii="Calibri" w:hAnsi="Calibri"/>
                <w:sz w:val="22"/>
                <w:lang w:val="en-US"/>
              </w:rPr>
              <w:t>Updated Reference to OPSS.MUNI 506 November 2017) (AAM)</w:t>
            </w:r>
          </w:p>
        </w:tc>
      </w:tr>
      <w:tr>
        <w:trPr>
          <w:cantSplit/>
        </w:trPr>
        <w:tc>
          <w:tcPr>
            <w:tcW w:w="1004" w:type="dxa"/>
            <w:tcBorders>
              <w:top w:val="single" w:sz="6" w:space="0" w:shadow="0" w:frame="0"/>
              <w:left w:val="doub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15</w:t>
            </w:r>
          </w:p>
        </w:tc>
        <w:tc>
          <w:tcPr>
            <w:tcW w:w="2344" w:type="dxa"/>
            <w:tcBorders>
              <w:top w:val="single" w:sz="6" w:space="0" w:shadow="0" w:frame="0"/>
              <w:left w:val="sing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November 5, 2021</w:t>
            </w:r>
          </w:p>
        </w:tc>
        <w:tc>
          <w:tcPr>
            <w:tcW w:w="5499" w:type="dxa"/>
            <w:tcBorders>
              <w:top w:val="single" w:sz="6" w:space="0" w:shadow="0" w:frame="0"/>
              <w:left w:val="single" w:sz="6" w:space="0" w:shadow="0" w:frame="0"/>
              <w:bottom w:val="double" w:sz="6" w:space="0" w:shadow="0" w:frame="0"/>
              <w:right w:val="double" w:sz="6" w:space="0" w:shadow="0" w:frame="0"/>
            </w:tcBorders>
          </w:tcPr>
          <w:p>
            <w:pPr>
              <w:pStyle w:val="P45"/>
              <w:rPr>
                <w:rFonts w:ascii="Calibri" w:hAnsi="Calibri"/>
                <w:sz w:val="22"/>
                <w:lang w:val="en-US"/>
              </w:rPr>
            </w:pPr>
            <w:r>
              <w:rPr>
                <w:rFonts w:ascii="Calibri" w:hAnsi="Calibri"/>
                <w:sz w:val="22"/>
                <w:lang w:val="en-US"/>
              </w:rPr>
              <w:t>Added measurement and payment, clarifications throughout to OPSS references (BM)</w:t>
            </w:r>
          </w:p>
        </w:tc>
      </w:tr>
    </w:tbl>
    <w:p/>
    <w:p/>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pPr>
        <w:pStyle w:val="P10"/>
      </w:pPr>
    </w:p>
    <w:p>
      <w:pPr>
        <w:pStyle w:val="P1"/>
      </w:pPr>
      <w:r>
        <w:br w:type="page"/>
        <w:t>GENERAL</w:t>
      </w:r>
    </w:p>
    <w:p>
      <w:pPr>
        <w:pStyle w:val="P2"/>
      </w:pPr>
      <w:r>
        <w:t>Related Sections</w:t>
      </w:r>
    </w:p>
    <w:p>
      <w:pPr>
        <w:pStyle w:val="P3"/>
        <w:numPr>
          <w:ilvl w:val="2"/>
          <w:numId w:val="0"/>
        </w:numPr>
        <w:ind w:firstLine="0"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Contractor is responsible for coordination of the Work. Contractor is responsible for being familiar with and incorporating all required elements of cross-referenced Specifications cited.</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[List Sections specifying installation of products supplied but not installed under this Section and indicate specific items.]</w:t>
      </w:r>
    </w:p>
    <w:p>
      <w:pPr>
        <w:pStyle w:val="P3"/>
        <w:numPr>
          <w:ilvl w:val="2"/>
          <w:numId w:val="0"/>
        </w:numPr>
        <w:ind w:firstLine="0" w:left="720"/>
        <w:rPr>
          <w:i w:val="1"/>
          <w:highlight w:val="yellow"/>
        </w:rPr>
      </w:pPr>
    </w:p>
    <w:p>
      <w:pPr>
        <w:pStyle w:val="P3"/>
        <w:numPr>
          <w:ilvl w:val="2"/>
          <w:numId w:val="0"/>
        </w:numPr>
        <w:ind w:hanging="720" w:left="1440"/>
        <w:rPr>
          <w:highlight w:val="yellow"/>
        </w:rPr>
      </w:pPr>
      <w:r>
        <w:rPr>
          <w:highlight w:val="yellow"/>
        </w:rPr>
        <w:t xml:space="preserve">Section [______ – ____________]:  Execution requirements for ...[item]...  specified under this Section.</w:t>
      </w:r>
    </w:p>
    <w:p>
      <w:pPr>
        <w:pStyle w:val="P3"/>
        <w:numPr>
          <w:ilvl w:val="2"/>
          <w:numId w:val="0"/>
        </w:numPr>
        <w:ind w:hanging="720" w:left="1440"/>
        <w:rPr>
          <w:highlight w:val="yellow"/>
        </w:rPr>
      </w:pPr>
    </w:p>
    <w:p>
      <w:pPr>
        <w:pStyle w:val="P3"/>
        <w:numPr>
          <w:ilvl w:val="2"/>
          <w:numId w:val="0"/>
        </w:numPr>
        <w:ind w:hanging="720" w:left="1440"/>
        <w:rPr>
          <w:highlight w:val="yellow"/>
        </w:rPr>
      </w:pPr>
      <w:r>
        <w:rPr>
          <w:highlight w:val="yellow"/>
        </w:rPr>
        <w:t xml:space="preserve">Section [______ – ____________]:  Product requirements for ...[item]...  for installation under this Section.</w:t>
      </w:r>
    </w:p>
    <w:p>
      <w:pPr>
        <w:pStyle w:val="P3"/>
        <w:numPr>
          <w:ilvl w:val="2"/>
          <w:numId w:val="0"/>
        </w:numPr>
        <w:ind w:firstLine="0" w:left="720"/>
      </w:pPr>
    </w:p>
    <w:p>
      <w:pPr>
        <w:pStyle w:val="P3"/>
        <w:numPr>
          <w:ilvl w:val="2"/>
          <w:numId w:val="0"/>
        </w:numPr>
        <w:ind w:firstLine="0" w:left="720"/>
        <w:rPr>
          <w:i w:val="1"/>
        </w:rPr>
      </w:pPr>
      <w:r>
        <w:rPr>
          <w:i w:val="1"/>
        </w:rPr>
        <w:t>[</w:t>
      </w:r>
      <w:r>
        <w:rPr>
          <w:i w:val="1"/>
          <w:highlight w:val="yellow"/>
        </w:rPr>
        <w:t>List Sections specifying related requirements</w:t>
      </w:r>
      <w:r>
        <w:rPr>
          <w:i w:val="1"/>
        </w:rPr>
        <w:t>.]</w:t>
      </w:r>
    </w:p>
    <w:p>
      <w:pPr>
        <w:pStyle w:val="P3"/>
      </w:pPr>
      <w:r>
        <w:t xml:space="preserve">Section [______ – ____________]:  [Optional short phrase indicating relationship].</w:t>
      </w:r>
    </w:p>
    <w:p>
      <w:pPr>
        <w:pStyle w:val="P4"/>
        <w:rPr>
          <w:highlight w:val="yellow"/>
        </w:rPr>
      </w:pPr>
      <w:r>
        <w:rPr>
          <w:highlight w:val="yellow"/>
        </w:rPr>
        <w:t>Section 01060 – Regulatory Requirements</w:t>
      </w:r>
    </w:p>
    <w:p>
      <w:pPr>
        <w:pStyle w:val="P4"/>
        <w:rPr>
          <w:highlight w:val="yellow"/>
        </w:rPr>
      </w:pPr>
      <w:r>
        <w:rPr>
          <w:highlight w:val="yellow"/>
        </w:rPr>
        <w:t>Section 01550 – Traffic Control</w:t>
      </w:r>
    </w:p>
    <w:p>
      <w:pPr>
        <w:pStyle w:val="P4"/>
        <w:rPr>
          <w:highlight w:val="yellow"/>
        </w:rPr>
      </w:pPr>
      <w:r>
        <w:rPr>
          <w:highlight w:val="yellow"/>
        </w:rPr>
        <w:t>Section 01561 – Environmental Protection</w:t>
      </w:r>
    </w:p>
    <w:p>
      <w:pPr>
        <w:pStyle w:val="P2"/>
      </w:pPr>
      <w:r>
        <w:t>References</w:t>
      </w:r>
    </w:p>
    <w:p>
      <w:pPr>
        <w:pStyle w:val="P3"/>
      </w:pPr>
      <w:r>
        <w:t>Ontario Provincial Standards for Roads and Public Works (OPSS)</w:t>
      </w:r>
    </w:p>
    <w:p>
      <w:pPr>
        <w:pStyle w:val="P4"/>
      </w:pPr>
      <w:r>
        <w:t>OPSS.MUNI 506 Construction Specification for Dust Suppressants (Nov 2017)</w:t>
      </w:r>
    </w:p>
    <w:p>
      <w:pPr>
        <w:pStyle w:val="P4"/>
      </w:pPr>
      <w:r>
        <w:t>OPSS.MUNI 2501 Material Specification for Calcium Chloride (Nov 2017)</w:t>
      </w:r>
    </w:p>
    <w:p>
      <w:pPr>
        <w:pStyle w:val="P4"/>
      </w:pPr>
      <w:r>
        <w:t>OPSS.MUNI 2503 Material Specification for Magnesium Chloride Solid and Magnesium Chloride Solution (Nov 2017)</w:t>
      </w:r>
    </w:p>
    <w:p>
      <w:pPr>
        <w:pStyle w:val="P2"/>
      </w:pPr>
      <w:r>
        <w:t>Delivery Storage and Handling</w:t>
      </w:r>
    </w:p>
    <w:p>
      <w:pPr>
        <w:pStyle w:val="P3"/>
        <w:numPr>
          <w:ilvl w:val="2"/>
          <w:numId w:val="0"/>
        </w:numPr>
        <w:ind w:hanging="720" w:left="1440"/>
      </w:pPr>
      <w:r>
        <w:t>.1</w:t>
        <w:tab/>
        <w:t>Supply water and/or calcium chloride in quantities and at times as required in order to mitigate the impacts of dust, or as directed by the Consultant.</w:t>
      </w:r>
    </w:p>
    <w:p>
      <w:pPr>
        <w:pStyle w:val="P3"/>
        <w:numPr>
          <w:ilvl w:val="2"/>
          <w:numId w:val="0"/>
        </w:numPr>
        <w:ind w:hanging="720" w:left="1440"/>
      </w:pPr>
      <w:r>
        <w:t>.2</w:t>
        <w:tab/>
        <w:t xml:space="preserve">Store bags of calcium chloride solid in weatherproof enclosures a minimum of 30m away from watercourses, wetlands and other environmentally sensitive areas shown on the Contract Drawings. </w:t>
      </w:r>
      <w:r>
        <w:rPr>
          <w:i w:val="1"/>
          <w:highlight w:val="yellow"/>
        </w:rPr>
        <w:t>[Consultant to ensure Environmentally Sensitive Areas are identified on the Contract Drawings]</w:t>
      </w:r>
    </w:p>
    <w:p>
      <w:pPr>
        <w:pStyle w:val="P1"/>
      </w:pPr>
      <w:r>
        <w:t>PRODUCTS</w:t>
      </w:r>
    </w:p>
    <w:p>
      <w:pPr>
        <w:pStyle w:val="P2"/>
      </w:pPr>
      <w:r>
        <w:t>OPSS.MUNI 506 is amended as follows:</w:t>
      </w:r>
    </w:p>
    <w:p>
      <w:pPr>
        <w:pStyle w:val="P3"/>
      </w:pPr>
      <w:r>
        <w:rPr>
          <w:b w:val="1"/>
        </w:rPr>
        <w:t xml:space="preserve">506.04.01 Submission Requirements </w:t>
      </w:r>
      <w:r>
        <w:t>The second and third paragraph are deleted and replaced by the following:</w:t>
      </w:r>
    </w:p>
    <w:p>
      <w:pPr>
        <w:ind w:firstLine="720" w:left="1440"/>
      </w:pPr>
      <w:r>
        <w:t>Dust suppressants shall not contain waste material.</w:t>
      </w:r>
    </w:p>
    <w:p>
      <w:pPr>
        <w:pStyle w:val="P3"/>
      </w:pPr>
      <w:r>
        <w:rPr>
          <w:b w:val="1"/>
        </w:rPr>
        <w:t>506.05.02 Calcium Chloride Solid, Calcium Chloride Solution, and Calcium-Magnesium Chloride Blend</w:t>
      </w:r>
      <w:r>
        <w:t xml:space="preserve"> The first sentence is deleted and replaced by the following:</w:t>
      </w:r>
    </w:p>
    <w:p>
      <w:pPr>
        <w:ind w:left="2160"/>
      </w:pPr>
      <w:r>
        <w:t xml:space="preserve">Calcium chloride solid and calcium chloride solution shall be according to OPSS.MUNI 2501. Calcium-magnesium chloride blend shall not be used on Regional projects.  </w:t>
      </w:r>
    </w:p>
    <w:p>
      <w:pPr>
        <w:pStyle w:val="P3"/>
      </w:pPr>
      <w:r>
        <w:rPr>
          <w:b w:val="1"/>
        </w:rPr>
        <w:t>506.05.03 Magnesium Chloride Solid and Magnesium Chloride Solution</w:t>
      </w:r>
      <w:r>
        <w:t xml:space="preserve"> is deleted in its entirety and replaced by the following:</w:t>
      </w:r>
    </w:p>
    <w:p>
      <w:pPr>
        <w:ind w:left="2160"/>
      </w:pPr>
      <w:r>
        <w:t>Magnesium chloride solid and magnesium chloride solution shall be according to OPSS.MUNI 2503. Magnesium chloride solution may be substituted for magnesium chloride solid.</w:t>
      </w:r>
    </w:p>
    <w:p>
      <w:pPr>
        <w:pStyle w:val="P1"/>
      </w:pPr>
      <w:r>
        <w:t>EXECUTION</w:t>
      </w:r>
    </w:p>
    <w:p>
      <w:pPr>
        <w:pStyle w:val="P2"/>
        <w:spacing w:before="80" w:beforeAutospacing="0" w:afterAutospacing="0"/>
      </w:pPr>
      <w:r>
        <w:t>OPSS.MUNI 506 is amended as follows:</w:t>
      </w:r>
    </w:p>
    <w:p>
      <w:pPr>
        <w:pStyle w:val="P3"/>
      </w:pPr>
      <w:r>
        <w:rPr>
          <w:b w:val="1"/>
        </w:rPr>
        <w:t xml:space="preserve">506.07.01 General </w:t>
      </w:r>
      <w:r>
        <w:t>The third sentence of</w:t>
      </w:r>
      <w:r>
        <w:rPr>
          <w:b w:val="1"/>
        </w:rPr>
        <w:t xml:space="preserve"> </w:t>
      </w:r>
      <w:r>
        <w:t>is deleted and replaced by the following:</w:t>
      </w:r>
    </w:p>
    <w:p>
      <w:pPr>
        <w:ind w:left="2160"/>
      </w:pPr>
      <w:r>
        <w:t xml:space="preserve">Approved dust suppressants other than water, calcium chloride solid and calcium chloride solution blend shall be applied according to the manufacturer’s guidelines and application rates. </w:t>
      </w:r>
    </w:p>
    <w:p>
      <w:pPr>
        <w:pStyle w:val="P3"/>
      </w:pPr>
      <w:r>
        <w:rPr>
          <w:b w:val="1"/>
        </w:rPr>
        <w:t xml:space="preserve">506.07.01 General </w:t>
      </w:r>
      <w:r>
        <w:t>is further amended</w:t>
      </w:r>
      <w:r>
        <w:rPr>
          <w:b w:val="1"/>
        </w:rPr>
        <w:t xml:space="preserve"> </w:t>
      </w:r>
      <w:r>
        <w:t xml:space="preserve">by the addition of the following: </w:t>
      </w:r>
    </w:p>
    <w:p>
      <w:pPr>
        <w:pStyle w:val="P4"/>
        <w:rPr>
          <w:i w:val="1"/>
        </w:rPr>
      </w:pPr>
      <w:r>
        <w:rPr>
          <w:i w:val="1"/>
          <w:u w:val="single"/>
        </w:rPr>
        <w:t>Imminent Precipitation</w:t>
      </w:r>
      <w:r>
        <w:t xml:space="preserve"> Do not apply products if precipitation is occurring or forecast to occur before the product sets or cures. </w:t>
      </w:r>
    </w:p>
    <w:p>
      <w:pPr>
        <w:pStyle w:val="P4"/>
      </w:pPr>
      <w:r>
        <w:rPr>
          <w:i w:val="1"/>
          <w:u w:val="single"/>
        </w:rPr>
        <w:t>Proximity to Water</w:t>
      </w:r>
      <w:r>
        <w:t xml:space="preserve"> Ensure that dust suppressants do not enter and contaminate waterbodies, including surface and groundwater. Do not allow the product to leave the roadway.</w:t>
      </w:r>
    </w:p>
    <w:p>
      <w:pPr>
        <w:pStyle w:val="P4"/>
      </w:pPr>
      <w:r>
        <w:rPr>
          <w:i w:val="1"/>
          <w:u w:val="single"/>
        </w:rPr>
        <w:t>Sensitive Environments</w:t>
      </w:r>
      <w:r>
        <w:rPr>
          <w:u w:val="single"/>
        </w:rPr>
        <w:t xml:space="preserve"> </w:t>
      </w:r>
      <w:r>
        <w:t xml:space="preserve">Application rates near sensitive environments (e.g. </w:t>
      </w:r>
      <w:r>
        <w:rPr>
          <w:i w:val="1"/>
        </w:rPr>
        <w:t>marshes) must</w:t>
      </w:r>
      <w:r>
        <w:t xml:space="preserve"> be closely monitored. </w:t>
      </w:r>
      <w:r>
        <w:rPr>
          <w:i w:val="1"/>
          <w:highlight w:val="yellow"/>
        </w:rPr>
        <w:t>[Consultant to discuss with the Region a suitable dust suppressant for dust control in environmentally sensitive areas]</w:t>
      </w:r>
      <w:r>
        <w:t xml:space="preserve"> </w:t>
      </w:r>
    </w:p>
    <w:p>
      <w:pPr>
        <w:pStyle w:val="P4"/>
      </w:pPr>
      <w:r>
        <w:rPr>
          <w:i w:val="1"/>
          <w:u w:val="single"/>
        </w:rPr>
        <w:t>Flooding</w:t>
      </w:r>
      <w:r>
        <w:rPr>
          <w:u w:val="single"/>
        </w:rPr>
        <w:t xml:space="preserve"> </w:t>
      </w:r>
      <w:r>
        <w:t>Do not apply products to areas of roads that are subject to flooding.</w:t>
      </w:r>
    </w:p>
    <w:p>
      <w:pPr>
        <w:pStyle w:val="P3"/>
      </w:pPr>
      <w:r>
        <w:rPr>
          <w:b w:val="1"/>
        </w:rPr>
        <w:t xml:space="preserve">506.09 Measurement and Payment </w:t>
      </w:r>
      <w:r>
        <w:t>is deleted and replaced by the following:</w:t>
      </w:r>
    </w:p>
    <w:p>
      <w:pPr>
        <w:ind w:left="2160"/>
      </w:pPr>
      <w:r>
        <w:t xml:space="preserve">All costs associated with the work of this Section shall be included in the Lump Sum price(s) for Item No(s). </w:t>
      </w:r>
      <w:r>
        <w:rPr>
          <w:highlight w:val="yellow"/>
        </w:rPr>
        <w:t xml:space="preserve">[   ]</w:t>
      </w:r>
      <w:r>
        <w:t xml:space="preserve"> in the Bid Form.</w:t>
      </w:r>
    </w:p>
    <w:p>
      <w:pPr>
        <w:pStyle w:val="P3"/>
      </w:pPr>
      <w:r>
        <w:rPr>
          <w:b w:val="1"/>
        </w:rPr>
        <w:t xml:space="preserve">506.10 Basis of Payment </w:t>
      </w:r>
      <w:r>
        <w:t>is</w:t>
      </w:r>
      <w:r>
        <w:rPr>
          <w:b w:val="1"/>
        </w:rPr>
        <w:t xml:space="preserve"> </w:t>
      </w:r>
      <w:r>
        <w:t>amended</w:t>
      </w:r>
      <w:r>
        <w:rPr>
          <w:b w:val="1"/>
        </w:rPr>
        <w:t xml:space="preserve"> </w:t>
      </w:r>
      <w:r>
        <w:t xml:space="preserve">by the addition of the following: </w:t>
      </w:r>
    </w:p>
    <w:p>
      <w:pPr>
        <w:ind w:left="2160"/>
      </w:pPr>
      <w:r>
        <w:t>No extra compensation will be paid for any sweeping, cleaning, or the application of calcium chloride or water ordered and applied on Saturdays, Sundays or holidays.</w:t>
      </w:r>
    </w:p>
    <w:p>
      <w:pPr>
        <w:jc w:val="center"/>
        <w:rPr>
          <w:rStyle w:val="C10"/>
          <w:b w:val="1"/>
          <w:i w:val="0"/>
        </w:rPr>
      </w:pPr>
    </w:p>
    <w:p>
      <w:pPr>
        <w:jc w:val="center"/>
        <w:rPr>
          <w:rStyle w:val="C10"/>
          <w:b w:val="1"/>
          <w:i w:val="0"/>
        </w:rPr>
      </w:pPr>
      <w:r>
        <w:rPr>
          <w:rStyle w:val="C10"/>
          <w:b w:val="1"/>
          <w:i w:val="0"/>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02362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DUST CONTROL</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t>CONTRACT NO</w:t>
    </w:r>
    <w:r>
      <w:rPr>
        <w:highlight w:val="yellow"/>
      </w:rPr>
      <w:t>. [Insert Region Number]</w:t>
    </w:r>
    <w:r>
      <w:tab/>
      <w:t>Section 02362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pPr>
    <w:r>
      <w:rPr>
        <w:b w:val="1"/>
      </w:rPr>
      <w:tab/>
      <w:t>DUST CONTROL</w:t>
    </w:r>
    <w:r>
      <w:tab/>
      <w:t>2021-11-05</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t>Section 02362</w:t>
      <w:tab/>
      <w:t>CONTRACT NO</w:t>
    </w:r>
    <w:r>
      <w:rPr>
        <w:highlight w:val="yellow"/>
      </w:rPr>
      <w:t>. [Insert Region Number]</w:t>
    </w:r>
    <w: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pPr>
    <w:r>
      <w:t>2021-11-05</w:t>
    </w:r>
    <w:r>
      <w:rPr>
        <w:b w:val="1"/>
      </w:rPr>
      <w:tab/>
      <w:t>DUST CONTROL</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2020)]</w:t>
    </w:r>
    <w:r>
      <w:tab/>
      <w:tab/>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B75C3FD">
      <w:start w:val="1"/>
      <w:numFmt w:val="decimal"/>
      <w:suff w:val="tab"/>
      <w:lvlText w:val="%1."/>
      <w:lvlJc w:val="left"/>
      <w:pPr/>
      <w:rPr/>
    </w:lvl>
    <w:lvl w:ilvl="2" w:tplc="56B5A227">
      <w:start w:val="1"/>
      <w:numFmt w:val="decimal"/>
      <w:suff w:val="tab"/>
      <w:lvlText w:val="%1."/>
      <w:lvlJc w:val="left"/>
      <w:pPr/>
      <w:rPr/>
    </w:lvl>
    <w:lvl w:ilvl="3" w:tplc="39E3D118">
      <w:start w:val="1"/>
      <w:numFmt w:val="decimal"/>
      <w:suff w:val="tab"/>
      <w:lvlText w:val="%1."/>
      <w:lvlJc w:val="left"/>
      <w:pPr/>
      <w:rPr/>
    </w:lvl>
    <w:lvl w:ilvl="4" w:tplc="53DA4E2A">
      <w:start w:val="1"/>
      <w:numFmt w:val="decimal"/>
      <w:suff w:val="tab"/>
      <w:lvlText w:val="%1."/>
      <w:lvlJc w:val="left"/>
      <w:pPr/>
      <w:rPr/>
    </w:lvl>
    <w:lvl w:ilvl="5" w:tplc="5CE07A14">
      <w:start w:val="1"/>
      <w:numFmt w:val="decimal"/>
      <w:suff w:val="tab"/>
      <w:lvlText w:val="%1."/>
      <w:lvlJc w:val="left"/>
      <w:pPr/>
      <w:rPr/>
    </w:lvl>
    <w:lvl w:ilvl="6" w:tplc="511FB154">
      <w:start w:val="1"/>
      <w:numFmt w:val="decimal"/>
      <w:suff w:val="tab"/>
      <w:lvlText w:val="%1."/>
      <w:lvlJc w:val="left"/>
      <w:pPr/>
      <w:rPr/>
    </w:lvl>
    <w:lvl w:ilvl="7" w:tplc="46ADC75A">
      <w:start w:val="1"/>
      <w:numFmt w:val="decimal"/>
      <w:suff w:val="tab"/>
      <w:lvlText w:val="%1."/>
      <w:lvlJc w:val="left"/>
      <w:pPr/>
      <w:rPr/>
    </w:lvl>
    <w:lvl w:ilvl="8" w:tplc="645F234C">
      <w:start w:val="1"/>
      <w:numFmt w:val="decimal"/>
      <w:suff w:val="tab"/>
      <w:lvlText w:val="%1."/>
      <w:lvlJc w:val="left"/>
      <w:pPr/>
      <w:rPr/>
    </w:lvl>
  </w:abstractNum>
  <w:abstractNum w:abstractNumId="1">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pStyle w:val="P1"/>
      <w:suff w:val="tab"/>
      <w:lvlText w:val="PART %1."/>
      <w:lvlJc w:val="left"/>
      <w:pPr>
        <w:ind w:hanging="720" w:left="1530"/>
        <w:tabs>
          <w:tab w:val="left" w:pos="1530" w:leader="none"/>
        </w:tabs>
      </w:pPr>
      <w:rPr>
        <w:i w:val="0"/>
        <w:caps w:val="0"/>
        <w:strike w:val="0"/>
        <w:noProof w:val="0"/>
        <w:vanish w:val="0"/>
        <w:u w:val="none"/>
        <w:vertAlign w:val="baseline"/>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0"/>
  </w:num>
  <w:num w:numId="10">
    <w:abstractNumId w:val="5"/>
  </w:num>
  <w:num w:numId="11">
    <w:abstractNumId w:val="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8"/>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50"/>
    <w:link w:val="C11"/>
    <w:qFormat/>
    <w:pPr>
      <w:numPr>
        <w:numId w:val="24"/>
      </w:numPr>
      <w:tabs>
        <w:tab w:val="clear" w:pos="1530" w:leader="none"/>
      </w:tabs>
      <w:spacing w:before="160" w:beforeAutospacing="0" w:afterAutospacing="0"/>
      <w:ind w:left="720"/>
      <w:outlineLvl w:val="0"/>
    </w:pPr>
    <w:rPr>
      <w:caps w:val="1"/>
    </w:rPr>
  </w:style>
  <w:style w:type="paragraph" w:styleId="P2">
    <w:name w:val="heading 2"/>
    <w:basedOn w:val="P50"/>
    <w:next w:val="P0"/>
    <w:link w:val="C12"/>
    <w:qFormat/>
    <w:pPr>
      <w:numPr>
        <w:ilvl w:val="1"/>
        <w:numId w:val="24"/>
      </w:numPr>
      <w:outlineLvl w:val="1"/>
    </w:pPr>
    <w:rPr>
      <w:u w:val="single"/>
      <w:lang w:val="en-CA"/>
    </w:rPr>
  </w:style>
  <w:style w:type="paragraph" w:styleId="P3">
    <w:name w:val="heading 3"/>
    <w:basedOn w:val="P50"/>
    <w:link w:val="C7"/>
    <w:qFormat/>
    <w:pPr>
      <w:numPr>
        <w:ilvl w:val="2"/>
        <w:numId w:val="24"/>
      </w:numPr>
      <w:outlineLvl w:val="2"/>
    </w:pPr>
    <w:rPr/>
  </w:style>
  <w:style w:type="paragraph" w:styleId="P4">
    <w:name w:val="heading 4"/>
    <w:basedOn w:val="P50"/>
    <w:link w:val="C13"/>
    <w:qFormat/>
    <w:pPr>
      <w:numPr>
        <w:ilvl w:val="3"/>
        <w:numId w:val="24"/>
      </w:numPr>
      <w:outlineLvl w:val="3"/>
    </w:pPr>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50"/>
    <w:next w:val="P0"/>
    <w:link w:val="C16"/>
    <w:qFormat/>
    <w:pPr>
      <w:numPr>
        <w:ilvl w:val="6"/>
        <w:numId w:val="24"/>
      </w:numPr>
      <w:outlineLvl w:val="6"/>
    </w:pPr>
    <w:rPr/>
  </w:style>
  <w:style w:type="paragraph" w:styleId="P8">
    <w:name w:val="heading 8"/>
    <w:basedOn w:val="P7"/>
    <w:next w:val="P0"/>
    <w:link w:val="C17"/>
    <w:qFormat/>
    <w:pPr>
      <w:numPr>
        <w:ilvl w:val="7"/>
      </w:numPr>
      <w:outlineLvl w:val="7"/>
    </w:pPr>
    <w:rPr/>
  </w:style>
  <w:style w:type="paragraph" w:styleId="P9">
    <w:name w:val="heading 9"/>
    <w:basedOn w:val="P8"/>
    <w:next w:val="P0"/>
    <w:link w:val="C18"/>
    <w:qFormat/>
    <w:pPr>
      <w:numPr>
        <w:numId w:val="0"/>
      </w:numPr>
      <w:tabs>
        <w:tab w:val="left" w:pos="5760" w:leader="none"/>
      </w:tabs>
      <w:ind w:hanging="720" w:left="5760"/>
      <w:outlineLvl w:val="8"/>
    </w:pPr>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8"/>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link w:val="C9"/>
    <w:pPr>
      <w:spacing w:before="0" w:beforeAutospacing="0" w:afterAutospacing="0"/>
    </w:pPr>
    <w:rPr>
      <w:rFonts w:ascii="Book Antiqua" w:hAnsi="Book Antiqua"/>
      <w:b w:val="1"/>
      <w:sz w:val="20"/>
    </w:rPr>
  </w:style>
  <w:style w:type="paragraph" w:styleId="P49">
    <w:name w:val="Revision"/>
    <w:hidden/>
    <w:semiHidden/>
    <w:pPr/>
    <w:rPr>
      <w:rFonts w:ascii="Book Antiqua" w:hAnsi="Book Antiqua"/>
      <w:sz w:val="22"/>
    </w:rPr>
  </w:style>
  <w:style w:type="paragraph" w:styleId="P50">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Comment Text Char"/>
    <w:link w:val="P12"/>
    <w:semiHidden/>
    <w:rPr>
      <w:rFonts w:ascii="Arial" w:hAnsi="Arial"/>
    </w:rPr>
  </w:style>
  <w:style w:type="character" w:styleId="C9">
    <w:name w:val="Comment Subject Char"/>
    <w:link w:val="P48"/>
    <w:rPr>
      <w:rFonts w:ascii="Book Antiqua" w:hAnsi="Book Antiqua"/>
      <w:b w:val="1"/>
      <w:sz w:val="20"/>
    </w:rPr>
  </w:style>
  <w:style w:type="character" w:styleId="C10">
    <w:name w:val="Emphasis"/>
    <w:qFormat/>
    <w:rPr>
      <w:i w:val="1"/>
    </w:rPr>
  </w:style>
  <w:style w:type="character" w:styleId="C11">
    <w:name w:val="Heading 1 Char"/>
    <w:link w:val="P1"/>
    <w:rPr>
      <w:caps w:val="1"/>
    </w:rPr>
  </w:style>
  <w:style w:type="character" w:styleId="C12">
    <w:name w:val="Heading 2 Char"/>
    <w:link w:val="P2"/>
    <w:rPr>
      <w:u w:val="single"/>
      <w:lang w:val="en-CA"/>
    </w:rPr>
  </w:style>
  <w:style w:type="character" w:styleId="C13">
    <w:name w:val="Heading 4 Char"/>
    <w:basedOn w:val="C0"/>
    <w:link w:val="P4"/>
    <w:rPr/>
  </w:style>
  <w:style w:type="character" w:styleId="C14">
    <w:name w:val="Heading 5 Char"/>
    <w:link w:val="P5"/>
    <w:rPr/>
  </w:style>
  <w:style w:type="character" w:styleId="C15">
    <w:name w:val="Heading 6 Char"/>
    <w:link w:val="P6"/>
    <w:rPr/>
  </w:style>
  <w:style w:type="character" w:styleId="C16">
    <w:name w:val="Heading 7 Char"/>
    <w:link w:val="P7"/>
    <w:rPr/>
  </w:style>
  <w:style w:type="character" w:styleId="C17">
    <w:name w:val="Heading 8 Char"/>
    <w:basedOn w:val="C0"/>
    <w:link w:val="P8"/>
    <w:rPr/>
  </w:style>
  <w:style w:type="character" w:styleId="C18">
    <w:name w:val="Heading 9 Char"/>
    <w:link w:val="P9"/>
    <w:rPr/>
  </w:style>
  <w:style w:type="character" w:styleId="C19">
    <w:name w:val="Title Char"/>
    <w:link w:val="P30"/>
    <w:rPr>
      <w:rFonts w:ascii="Arial Narrow" w:hAnsi="Arial Narrow"/>
      <w:b w:val="1"/>
    </w:rPr>
  </w:style>
  <w:style w:type="character" w:styleId="C20">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2021-11-05T15:14:00Z</dcterms:created>
  <cp:lastModifiedBy>Ray</cp:lastModifiedBy>
  <cp:lastPrinted>2015-03-11T13:57:00Z</cp:lastPrinted>
  <dcterms:modified xsi:type="dcterms:W3CDTF">2022-10-04T19:38:51Z</dcterms:modified>
  <cp:revision>6</cp:revision>
  <dc:title>02362_Dust_Control (Dec 12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75480ef9-3f62-4fe0-b550-bdf19aa6d032</vt:lpwstr>
  </property>
  <property fmtid="{D5CDD505-2E9C-101B-9397-08002B2CF9AE}" pid="5" name="_dlc_DocId">
    <vt:lpwstr>77777-20-2932</vt:lpwstr>
  </property>
  <property fmtid="{D5CDD505-2E9C-101B-9397-08002B2CF9AE}" pid="6" name="_dlc_DocIdUrl">
    <vt:lpwstr>https://mycloud.york.ca/collab/CPDToolKit/_layouts/DocIdRedir.aspx?ID=77777-20-2932, 77777-20-2932</vt:lpwstr>
  </property>
  <property fmtid="{D5CDD505-2E9C-101B-9397-08002B2CF9AE}" pid="7" name="URL">
    <vt:lpwstr/>
  </property>
  <property fmtid="{D5CDD505-2E9C-101B-9397-08002B2CF9AE}" pid="8" name="Order">
    <vt:r8>368000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02 - Site Works/02362 Dust Control NEW.docx</vt:lpwstr>
  </property>
</Properties>
</file>