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05F8C27" Type="http://schemas.openxmlformats.org/officeDocument/2006/relationships/officeDocument" Target="/word/document.xml" /><Relationship Id="coreR305F8C27" Type="http://schemas.openxmlformats.org/package/2006/relationships/metadata/core-properties" Target="/docProps/core.xml" /><Relationship Id="customR305F8C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jc w:val="center"/>
              <w:rPr>
                <w:rFonts w:ascii="Calibri" w:hAnsi="Calibri"/>
                <w:sz w:val="22"/>
              </w:rPr>
            </w:pPr>
            <w: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t>February 21,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t xml:space="preserve">Addition of Subsection 1.3 which highlights Contractor responsibilities under the Ontario Underground Infrastructure Notification System Act, 2012    (AV)</w:t>
            </w: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3"/>
        <w:tabs>
          <w:tab w:val="left" w:pos="1080" w:leader="none"/>
        </w:tabs>
        <w:ind w:hanging="1080" w:left="1080"/>
      </w:pPr>
      <w:r>
        <w:t>GEneral</w:t>
      </w:r>
    </w:p>
    <w:p>
      <w:pPr>
        <w:pStyle w:val="P34"/>
      </w:pPr>
      <w:r>
        <w:t>Related Sections</w:t>
      </w:r>
    </w:p>
    <w:p>
      <w:pPr>
        <w:pStyle w:val="P35"/>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pPr>
    </w:p>
    <w:p>
      <w:pPr>
        <w:pStyle w:val="P35"/>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pPr>
    </w:p>
    <w:p>
      <w:pPr>
        <w:pStyle w:val="P35"/>
        <w:numPr>
          <w:ilvl w:val="2"/>
          <w:numId w:val="0"/>
        </w:numPr>
        <w:tabs>
          <w:tab w:val="left" w:pos="709" w:leader="none"/>
        </w:tabs>
        <w:ind w:left="709"/>
      </w:pPr>
      <w:r>
        <w:t>Contractor is responsible for coordination of the Work.</w:t>
      </w:r>
    </w:p>
    <w:p>
      <w:pPr>
        <w:pStyle w:val="P35"/>
        <w:numPr>
          <w:ilvl w:val="2"/>
          <w:numId w:val="0"/>
        </w:numPr>
        <w:tabs>
          <w:tab w:val="left" w:pos="709" w:leader="none"/>
        </w:tabs>
        <w:ind w:left="709"/>
      </w:pPr>
    </w:p>
    <w:p>
      <w:pPr>
        <w:pStyle w:val="P35"/>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pPr>
    </w:p>
    <w:p>
      <w:pPr>
        <w:pStyle w:val="P35"/>
        <w:numPr>
          <w:ilvl w:val="2"/>
          <w:numId w:val="0"/>
        </w:numPr>
        <w:tabs>
          <w:tab w:val="left" w:pos="709" w:leader="none"/>
        </w:tabs>
        <w:ind w:left="709"/>
      </w:pPr>
      <w:r>
        <w:t>[List Sections specifying installation of products supplied but not installed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4320"/>
      </w:pPr>
    </w:p>
    <w:p>
      <w:pPr>
        <w:pStyle w:val="P35"/>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4320"/>
      </w:pPr>
    </w:p>
    <w:p>
      <w:pPr>
        <w:pStyle w:val="P35"/>
        <w:numPr>
          <w:ilvl w:val="2"/>
          <w:numId w:val="0"/>
        </w:numPr>
        <w:tabs>
          <w:tab w:val="left" w:pos="709" w:leader="none"/>
        </w:tabs>
        <w:ind w:left="709"/>
      </w:pPr>
      <w:r>
        <w:t>[List Sections specifying related requirements.]</w:t>
      </w:r>
    </w:p>
    <w:p>
      <w:pPr>
        <w:pStyle w:val="P35"/>
        <w:numPr>
          <w:ilvl w:val="2"/>
          <w:numId w:val="30"/>
        </w:numPr>
      </w:pPr>
      <w:r>
        <w:t xml:space="preserve">Section </w:t>
      </w:r>
      <w:r>
        <w:rPr>
          <w:highlight w:val="yellow"/>
        </w:rPr>
        <w:t>[______ – ____________]</w:t>
      </w:r>
      <w:r>
        <w:t xml:space="preserve">:  </w:t>
      </w:r>
      <w:r>
        <w:rPr>
          <w:highlight w:val="yellow"/>
        </w:rPr>
        <w:t>[Optional short phrase indicating relationship].</w:t>
      </w:r>
    </w:p>
    <w:p>
      <w:pPr>
        <w:pStyle w:val="P35"/>
        <w:numPr>
          <w:ilvl w:val="2"/>
          <w:numId w:val="30"/>
        </w:numPr>
      </w:pPr>
      <w:r>
        <w:t xml:space="preserve">Section 03300 - Cast in Place Concrete </w:t>
      </w:r>
    </w:p>
    <w:p>
      <w:pPr>
        <w:pStyle w:val="P35"/>
        <w:tabs>
          <w:tab w:val="left" w:pos="1418" w:leader="none"/>
          <w:tab w:val="clear" w:pos="1440" w:leader="none"/>
        </w:tabs>
        <w:ind w:hanging="709" w:left="1418"/>
      </w:pPr>
      <w:r>
        <w:t>Section 01300 – Submittals</w:t>
      </w:r>
    </w:p>
    <w:p>
      <w:pPr>
        <w:pStyle w:val="P34"/>
      </w:pPr>
      <w:r>
        <w:t>References</w:t>
      </w:r>
    </w:p>
    <w:p>
      <w:pPr>
        <w:pStyle w:val="P35"/>
        <w:tabs>
          <w:tab w:val="left" w:pos="1418" w:leader="none"/>
          <w:tab w:val="clear" w:pos="1440" w:leader="none"/>
        </w:tabs>
        <w:ind w:hanging="709" w:left="1418"/>
      </w:pPr>
      <w:r>
        <w:t>ASTM A53/A53M-12, Standard Specification for Pipe, Steel, Black and Hot Dipped, Zinc Coated, Welded and Seamless.</w:t>
      </w:r>
    </w:p>
    <w:p>
      <w:pPr>
        <w:pStyle w:val="P35"/>
        <w:tabs>
          <w:tab w:val="left" w:pos="1418" w:leader="none"/>
          <w:tab w:val="clear" w:pos="1440" w:leader="none"/>
        </w:tabs>
        <w:ind w:hanging="709" w:left="1418"/>
      </w:pPr>
      <w:r>
        <w:t>ASTM A121-13, Standard Specification for Metallic-Coated Carbon Steel Barbed Wire.</w:t>
      </w:r>
    </w:p>
    <w:p>
      <w:pPr>
        <w:pStyle w:val="P35"/>
        <w:tabs>
          <w:tab w:val="left" w:pos="1418" w:leader="none"/>
          <w:tab w:val="clear" w:pos="1440" w:leader="none"/>
        </w:tabs>
        <w:ind w:hanging="709" w:left="1418"/>
      </w:pPr>
      <w:r>
        <w:t>CAN/CSA A23.1-14/A23.2-14, Concrete Materials and Methods of Concrete Construction/Test Methods and Standard Practices for Concrete.</w:t>
      </w:r>
    </w:p>
    <w:p>
      <w:pPr>
        <w:pStyle w:val="P35"/>
        <w:tabs>
          <w:tab w:val="left" w:pos="1418" w:leader="none"/>
          <w:tab w:val="clear" w:pos="1440" w:leader="none"/>
        </w:tabs>
        <w:ind w:hanging="709" w:left="1418"/>
      </w:pPr>
      <w:r>
        <w:t>CAN/CSA O80 Series-15, Wood Preservation.</w:t>
      </w:r>
    </w:p>
    <w:p>
      <w:pPr>
        <w:pStyle w:val="P35"/>
        <w:tabs>
          <w:tab w:val="left" w:pos="1418" w:leader="none"/>
          <w:tab w:val="clear" w:pos="1440" w:leader="none"/>
        </w:tabs>
        <w:ind w:hanging="709" w:left="1418"/>
      </w:pPr>
      <w:r>
        <w:t>CAN/CSA A3000-13, Cementitious Materials Compendium</w:t>
      </w:r>
    </w:p>
    <w:p>
      <w:pPr>
        <w:pStyle w:val="P35"/>
        <w:tabs>
          <w:tab w:val="left" w:pos="1418" w:leader="none"/>
          <w:tab w:val="clear" w:pos="1440" w:leader="none"/>
        </w:tabs>
        <w:ind w:hanging="709" w:left="1418"/>
      </w:pPr>
      <w:r>
        <w:t>Ontario Underground Infrastructure Notification System Act, 2012</w:t>
      </w:r>
    </w:p>
    <w:p>
      <w:pPr>
        <w:pStyle w:val="P34"/>
      </w:pPr>
      <w:r>
        <w:t>Locates</w:t>
      </w:r>
    </w:p>
    <w:p>
      <w:pPr>
        <w:pStyle w:val="P35"/>
        <w:numPr>
          <w:ilvl w:val="2"/>
          <w:numId w:val="30"/>
        </w:numPr>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
      <w:pPr>
        <w:pStyle w:val="P34"/>
      </w:pPr>
      <w:r>
        <w:t>Measurement and Payment</w:t>
      </w:r>
    </w:p>
    <w:p>
      <w:pPr>
        <w:pStyle w:val="P35"/>
        <w:tabs>
          <w:tab w:val="left" w:pos="1418" w:leader="none"/>
          <w:tab w:val="clear" w:pos="1440" w:leader="none"/>
        </w:tabs>
        <w:ind w:hanging="709" w:left="1418"/>
      </w:pPr>
      <w:r>
        <w:rPr>
          <w:highlight w:val="yellow"/>
        </w:rPr>
        <w:t>[The Work outlined in this Section will be measured and paid for at the unit price as indicated in the Bid Form]</w:t>
      </w:r>
      <w:r>
        <w:br w:type="textWrapping"/>
        <w:t>or</w:t>
        <w:br w:type="textWrapping"/>
      </w:r>
      <w:r>
        <w:rPr>
          <w:highlight w:val="yellow"/>
        </w:rPr>
        <w:t>[The Work outlined in this Section is included in the Contract Price.]</w:t>
      </w:r>
      <w:r>
        <w:br w:type="textWrapping"/>
        <w:t>or</w:t>
        <w:br w:type="textWrapping"/>
      </w:r>
      <w:r>
        <w:rPr>
          <w:highlight w:val="yellow"/>
        </w:rPr>
        <w:t>[The Work outlined in this Section will be measured and paid for at the unit price for Work under Section…….].</w:t>
      </w:r>
      <w:r>
        <w:br w:type="textWrapping"/>
      </w:r>
      <w:r>
        <w:rPr>
          <w:highlight w:val="yellow"/>
        </w:rPr>
        <w:t>[Select appropriate method for each project].</w:t>
      </w:r>
    </w:p>
    <w:p>
      <w:pPr>
        <w:pStyle w:val="P33"/>
      </w:pPr>
      <w:r>
        <w:t>PRODUCTS</w:t>
      </w:r>
    </w:p>
    <w:p>
      <w:pPr>
        <w:pStyle w:val="P34"/>
      </w:pPr>
      <w:r>
        <w:t>Materials</w:t>
      </w:r>
    </w:p>
    <w:p>
      <w:pPr>
        <w:pStyle w:val="P35"/>
        <w:tabs>
          <w:tab w:val="left" w:pos="1418" w:leader="none"/>
          <w:tab w:val="clear" w:pos="1440" w:leader="none"/>
        </w:tabs>
        <w:ind w:hanging="709" w:left="1418"/>
      </w:pPr>
      <w:r>
        <w:t>Wire fence:</w:t>
      </w:r>
    </w:p>
    <w:p>
      <w:pPr>
        <w:pStyle w:val="P36"/>
        <w:tabs>
          <w:tab w:val="left" w:pos="2127" w:leader="none"/>
        </w:tabs>
        <w:ind w:hanging="709" w:left="2127"/>
      </w:pPr>
      <w:r>
        <w:t xml:space="preserve">Farm field type: in accordance with standard </w:t>
      </w:r>
      <w:r>
        <w:rPr>
          <w:highlight w:val="yellow"/>
        </w:rPr>
        <w:t>[Consultant to provide standard].</w:t>
      </w:r>
    </w:p>
    <w:p>
      <w:pPr>
        <w:pStyle w:val="P36"/>
        <w:tabs>
          <w:tab w:val="left" w:pos="2127" w:leader="none"/>
        </w:tabs>
        <w:ind w:hanging="709" w:left="2127"/>
      </w:pPr>
      <w:r>
        <w:t>Barbed wire: in accordance with ASTM A121-13.</w:t>
      </w:r>
    </w:p>
    <w:p>
      <w:pPr>
        <w:pStyle w:val="P36"/>
        <w:tabs>
          <w:tab w:val="left" w:pos="2127" w:leader="none"/>
        </w:tabs>
        <w:ind w:hanging="709" w:left="2127"/>
      </w:pPr>
      <w:r>
        <w:t>Galvanized steel.</w:t>
      </w:r>
    </w:p>
    <w:p>
      <w:pPr>
        <w:pStyle w:val="P36"/>
        <w:tabs>
          <w:tab w:val="left" w:pos="2127" w:leader="none"/>
        </w:tabs>
        <w:ind w:hanging="709" w:left="2127"/>
      </w:pPr>
      <w:r>
        <w:t>Wire size: 2 mm diameter.</w:t>
      </w:r>
    </w:p>
    <w:p>
      <w:pPr>
        <w:pStyle w:val="P36"/>
        <w:tabs>
          <w:tab w:val="left" w:pos="2127" w:leader="none"/>
        </w:tabs>
        <w:ind w:hanging="709" w:left="2127"/>
      </w:pPr>
      <w:r>
        <w:t>Barbs: 4 point at 125 mm spacing.</w:t>
      </w:r>
    </w:p>
    <w:p>
      <w:pPr>
        <w:pStyle w:val="P35"/>
        <w:tabs>
          <w:tab w:val="left" w:pos="1418" w:leader="none"/>
          <w:tab w:val="clear" w:pos="1440" w:leader="none"/>
        </w:tabs>
        <w:ind w:hanging="709" w:left="1418"/>
      </w:pPr>
      <w:r>
        <w:t>Gates:</w:t>
      </w:r>
    </w:p>
    <w:p>
      <w:pPr>
        <w:pStyle w:val="P36"/>
        <w:tabs>
          <w:tab w:val="left" w:pos="2127" w:leader="none"/>
        </w:tabs>
        <w:ind w:hanging="709" w:left="2127"/>
      </w:pPr>
      <w:r>
        <w:t xml:space="preserve">Frame: in accordance with ASTM A53/A53M-12, galvanized steel pipe, standard weight, </w:t>
      </w:r>
      <w:r>
        <w:rPr>
          <w:highlight w:val="yellow"/>
        </w:rPr>
        <w:t>[25]</w:t>
      </w:r>
      <w:r>
        <w:t xml:space="preserve"> mm outside diameter.</w:t>
      </w:r>
    </w:p>
    <w:p>
      <w:pPr>
        <w:pStyle w:val="P36"/>
        <w:tabs>
          <w:tab w:val="left" w:pos="2127" w:leader="none"/>
        </w:tabs>
        <w:ind w:hanging="709" w:left="2127"/>
      </w:pPr>
      <w:r>
        <w:t>Size: as indicated on the Contract Drawings.</w:t>
      </w:r>
    </w:p>
    <w:p>
      <w:pPr>
        <w:pStyle w:val="P36"/>
        <w:tabs>
          <w:tab w:val="left" w:pos="2127" w:leader="none"/>
        </w:tabs>
        <w:ind w:hanging="709" w:left="2127"/>
      </w:pPr>
      <w:r>
        <w:t>Joints: electrically welded.</w:t>
      </w:r>
    </w:p>
    <w:p>
      <w:pPr>
        <w:pStyle w:val="P35"/>
        <w:tabs>
          <w:tab w:val="left" w:pos="1418" w:leader="none"/>
          <w:tab w:val="clear" w:pos="1440" w:leader="none"/>
        </w:tabs>
        <w:ind w:hanging="709" w:left="1418"/>
      </w:pPr>
      <w:r>
        <w:t>Timber components: cedar or pressure treated timber.</w:t>
      </w:r>
    </w:p>
    <w:p>
      <w:pPr>
        <w:pStyle w:val="P35"/>
        <w:tabs>
          <w:tab w:val="left" w:pos="1418" w:leader="none"/>
          <w:tab w:val="clear" w:pos="1440" w:leader="none"/>
        </w:tabs>
        <w:ind w:hanging="709" w:left="1418"/>
      </w:pPr>
      <w:r>
        <w:t>Timber posts:</w:t>
      </w:r>
    </w:p>
    <w:p>
      <w:pPr>
        <w:pStyle w:val="P36"/>
        <w:tabs>
          <w:tab w:val="left" w:pos="2127" w:leader="none"/>
        </w:tabs>
        <w:ind w:hanging="709" w:left="2127"/>
      </w:pPr>
      <w:r>
        <w:t>Sound, seasoned wood, peeled and with ends cut square or as indicated on the Contract Drawings.</w:t>
      </w:r>
    </w:p>
    <w:p>
      <w:pPr>
        <w:pStyle w:val="P36"/>
        <w:tabs>
          <w:tab w:val="left" w:pos="2127" w:leader="none"/>
        </w:tabs>
        <w:ind w:hanging="709" w:left="2127"/>
      </w:pPr>
      <w:r>
        <w:t>Intermediate posts: 2.5 metres long and a minimum of 125 mm in diameter at the small end or as indicated on the Contract Drawings.</w:t>
      </w:r>
    </w:p>
    <w:p>
      <w:pPr>
        <w:pStyle w:val="P36"/>
        <w:tabs>
          <w:tab w:val="left" w:pos="2127" w:leader="none"/>
        </w:tabs>
        <w:ind w:hanging="709" w:left="2127"/>
      </w:pPr>
      <w:r>
        <w:t>Corner, end, gate and anchor posts: 2.7 metres long and a minimum of 200 mm in diameter at the small end or as indicated on the Contract Drawings.</w:t>
      </w:r>
    </w:p>
    <w:p>
      <w:pPr>
        <w:pStyle w:val="P36"/>
        <w:tabs>
          <w:tab w:val="left" w:pos="2127" w:leader="none"/>
        </w:tabs>
        <w:ind w:hanging="709" w:left="2127"/>
      </w:pPr>
      <w:r>
        <w:t>Straight, free from splits, shakes and excessive knots.</w:t>
      </w:r>
    </w:p>
    <w:p>
      <w:pPr>
        <w:pStyle w:val="P36"/>
        <w:tabs>
          <w:tab w:val="left" w:pos="2127" w:leader="none"/>
        </w:tabs>
        <w:ind w:hanging="709" w:left="2127"/>
      </w:pPr>
      <w:r>
        <w:t>Existing knots should be trimmed flush with the surface.</w:t>
      </w:r>
    </w:p>
    <w:p>
      <w:pPr>
        <w:pStyle w:val="P36"/>
        <w:tabs>
          <w:tab w:val="left" w:pos="2127" w:leader="none"/>
        </w:tabs>
        <w:ind w:hanging="709" w:left="2127"/>
      </w:pPr>
      <w:r>
        <w:t>Cleats for anchoring corner, gate, end and anchor posts: 38 mm x 140 mm x 910 mm.</w:t>
      </w:r>
    </w:p>
    <w:p>
      <w:pPr>
        <w:pStyle w:val="P36"/>
        <w:tabs>
          <w:tab w:val="left" w:pos="2127" w:leader="none"/>
        </w:tabs>
        <w:ind w:hanging="709" w:left="2127"/>
      </w:pPr>
      <w:r>
        <w:t>Braces for end, corner and gate posts: 89 mm x 89 mm x 3 m long.</w:t>
      </w:r>
    </w:p>
    <w:p>
      <w:pPr>
        <w:pStyle w:val="P36"/>
        <w:tabs>
          <w:tab w:val="left" w:pos="2127" w:leader="none"/>
        </w:tabs>
        <w:ind w:hanging="709" w:left="2127"/>
      </w:pPr>
      <w:r>
        <w:t>Posts are to be treated in accordance with CAN/CSA O80 Series-15.</w:t>
      </w:r>
    </w:p>
    <w:p>
      <w:pPr>
        <w:pStyle w:val="P35"/>
        <w:tabs>
          <w:tab w:val="left" w:pos="709" w:leader="none"/>
        </w:tabs>
        <w:ind w:firstLine="0" w:left="709"/>
      </w:pPr>
      <w:r>
        <w:t>Steel posts:</w:t>
        <w:br w:type="textWrapping"/>
      </w:r>
      <w:r>
        <w:rPr>
          <w:highlight w:val="yellow"/>
        </w:rPr>
        <w:t>[Indicate on drawings types and dimensions of steel components.]</w:t>
      </w:r>
    </w:p>
    <w:p>
      <w:pPr>
        <w:pStyle w:val="P36"/>
        <w:tabs>
          <w:tab w:val="left" w:pos="2127" w:leader="none"/>
        </w:tabs>
        <w:ind w:hanging="709" w:left="2127"/>
      </w:pPr>
      <w:r>
        <w:t>Corner, end, gate and intermediate posts, projection arm with clips, corner and gate post braces, gate posts as indicated on the Contract Drawings.</w:t>
      </w:r>
    </w:p>
    <w:p>
      <w:pPr>
        <w:pStyle w:val="P36"/>
        <w:tabs>
          <w:tab w:val="left" w:pos="2127" w:leader="none"/>
        </w:tabs>
        <w:ind w:hanging="709" w:left="2127"/>
      </w:pPr>
      <w:r>
        <w:t>Galvanizing: zinc coating, a minimum of 92 g/m</w:t>
      </w:r>
      <w:r>
        <w:rPr>
          <w:vertAlign w:val="superscript"/>
        </w:rPr>
        <w:t>2</w:t>
      </w:r>
      <w:r>
        <w:t xml:space="preserve"> of the surface area.</w:t>
      </w:r>
    </w:p>
    <w:p>
      <w:pPr>
        <w:pStyle w:val="P36"/>
        <w:tabs>
          <w:tab w:val="left" w:pos="2127" w:leader="none"/>
        </w:tabs>
        <w:ind w:hanging="709" w:left="2127"/>
      </w:pPr>
      <w:r>
        <w:t>Concrete mixes and materials: in accordance with Section 03300 - Cast In Place Concrete.</w:t>
      </w:r>
    </w:p>
    <w:p>
      <w:pPr>
        <w:pStyle w:val="P43"/>
        <w:tabs>
          <w:tab w:val="left" w:pos="2835" w:leader="none"/>
        </w:tabs>
        <w:ind w:hanging="708" w:left="2835"/>
      </w:pPr>
      <w:r>
        <w:t>Nominal coarse aggregate size: 20 mm.</w:t>
      </w:r>
    </w:p>
    <w:p>
      <w:pPr>
        <w:pStyle w:val="P43"/>
        <w:tabs>
          <w:tab w:val="left" w:pos="2835" w:leader="none"/>
        </w:tabs>
        <w:ind w:hanging="708" w:left="2835"/>
      </w:pPr>
      <w:r>
        <w:t>Compressive strength: 20 MPa minimum at 28 Days.</w:t>
      </w:r>
    </w:p>
    <w:p>
      <w:pPr>
        <w:pStyle w:val="P35"/>
        <w:tabs>
          <w:tab w:val="left" w:pos="1418" w:leader="none"/>
          <w:tab w:val="clear" w:pos="1440" w:leader="none"/>
        </w:tabs>
        <w:ind w:hanging="709" w:left="1418"/>
      </w:pPr>
      <w:r>
        <w:t xml:space="preserve">Organic zinc rich coating: in accordance with </w:t>
      </w:r>
      <w:r>
        <w:rPr>
          <w:highlight w:val="yellow"/>
        </w:rPr>
        <w:t>[Consultant to provide appropriate standard]</w:t>
      </w:r>
      <w:r>
        <w:t>.</w:t>
      </w:r>
    </w:p>
    <w:p>
      <w:pPr>
        <w:pStyle w:val="P33"/>
      </w:pPr>
      <w:r>
        <w:t>EXECUTION</w:t>
      </w:r>
    </w:p>
    <w:p>
      <w:pPr>
        <w:pStyle w:val="P34"/>
      </w:pPr>
      <w:r>
        <w:t>Grading</w:t>
      </w:r>
    </w:p>
    <w:p>
      <w:pPr>
        <w:pStyle w:val="P35"/>
        <w:tabs>
          <w:tab w:val="left" w:pos="1418" w:leader="none"/>
          <w:tab w:val="clear" w:pos="1440" w:leader="none"/>
        </w:tabs>
        <w:ind w:hanging="709" w:left="1418"/>
      </w:pPr>
      <w:r>
        <w:t>Level the ground along the fence line in order that the bottom wire of the fence between posts can be maintained at not more than 150 mm above the ground.</w:t>
      </w:r>
    </w:p>
    <w:p>
      <w:pPr>
        <w:pStyle w:val="P34"/>
      </w:pPr>
      <w:r>
        <w:t>Erection of Fence</w:t>
      </w:r>
    </w:p>
    <w:p>
      <w:pPr>
        <w:pStyle w:val="P35"/>
        <w:tabs>
          <w:tab w:val="left" w:pos="1418" w:leader="none"/>
          <w:tab w:val="clear" w:pos="1440" w:leader="none"/>
        </w:tabs>
        <w:ind w:hanging="709" w:left="1418"/>
      </w:pPr>
      <w:r>
        <w:t>Erect the fence along the lines as indicated on the Contract Drawings.</w:t>
      </w:r>
    </w:p>
    <w:p>
      <w:pPr>
        <w:pStyle w:val="P35"/>
        <w:tabs>
          <w:tab w:val="left" w:pos="1418" w:leader="none"/>
          <w:tab w:val="clear" w:pos="1440" w:leader="none"/>
        </w:tabs>
        <w:ind w:hanging="709" w:left="1418"/>
      </w:pPr>
      <w:r>
        <w:t>Installation of posts:</w:t>
      </w:r>
    </w:p>
    <w:p>
      <w:pPr>
        <w:pStyle w:val="P36"/>
        <w:tabs>
          <w:tab w:val="left" w:pos="2127" w:leader="none"/>
        </w:tabs>
        <w:ind w:hanging="709" w:left="2127"/>
      </w:pPr>
      <w:r>
        <w:t>Space intermediate posts at 5 metres.</w:t>
      </w:r>
    </w:p>
    <w:p>
      <w:pPr>
        <w:pStyle w:val="P36"/>
        <w:tabs>
          <w:tab w:val="left" w:pos="2127" w:leader="none"/>
        </w:tabs>
        <w:ind w:hanging="709" w:left="2127"/>
      </w:pPr>
      <w:r>
        <w:t>Space corner, end and gate posts 3 metres from the adjacent post.</w:t>
      </w:r>
    </w:p>
    <w:p>
      <w:pPr>
        <w:pStyle w:val="P36"/>
        <w:tabs>
          <w:tab w:val="left" w:pos="2127" w:leader="none"/>
        </w:tabs>
        <w:ind w:hanging="709" w:left="2127"/>
      </w:pPr>
      <w:r>
        <w:t>Locate and erect gate posts as indicated on the Contract Drawings.</w:t>
      </w:r>
    </w:p>
    <w:p>
      <w:pPr>
        <w:pStyle w:val="P36"/>
        <w:tabs>
          <w:tab w:val="left" w:pos="2127" w:leader="none"/>
        </w:tabs>
        <w:ind w:hanging="709" w:left="2127"/>
      </w:pPr>
      <w:r>
        <w:t>Install posts true to line and plumb with 1.5 metre of post projecting above the ground.</w:t>
      </w:r>
    </w:p>
    <w:p>
      <w:pPr>
        <w:pStyle w:val="P35"/>
        <w:tabs>
          <w:tab w:val="left" w:pos="1418" w:leader="none"/>
          <w:tab w:val="clear" w:pos="1440" w:leader="none"/>
        </w:tabs>
        <w:ind w:hanging="709" w:left="1418"/>
      </w:pPr>
      <w:r>
        <w:t>Fencing with wood posts:</w:t>
      </w:r>
    </w:p>
    <w:p>
      <w:pPr>
        <w:pStyle w:val="P36"/>
        <w:tabs>
          <w:tab w:val="left" w:pos="2127" w:leader="none"/>
        </w:tabs>
        <w:ind w:hanging="709" w:left="2127"/>
      </w:pPr>
      <w:r>
        <w:t>Excavate post holes to the dimensions indicated on the Contract Drawings and by methods approved by the Consultant.</w:t>
      </w:r>
    </w:p>
    <w:p>
      <w:pPr>
        <w:pStyle w:val="P36"/>
        <w:tabs>
          <w:tab w:val="left" w:pos="2127" w:leader="none"/>
        </w:tabs>
        <w:ind w:hanging="709" w:left="2127"/>
      </w:pPr>
      <w:r>
        <w:t>The slant of post tops is to be perpendicular to the fence line and facing outward.</w:t>
      </w:r>
    </w:p>
    <w:p>
      <w:pPr>
        <w:pStyle w:val="P36"/>
        <w:tabs>
          <w:tab w:val="left" w:pos="2127" w:leader="none"/>
        </w:tabs>
        <w:ind w:hanging="709" w:left="2127"/>
      </w:pPr>
      <w:r>
        <w:t>Install cleats for anchoring at corner, gate, end and anchor posts as indicated on the Contract Drawings.</w:t>
      </w:r>
    </w:p>
    <w:p>
      <w:pPr>
        <w:pStyle w:val="P36"/>
        <w:tabs>
          <w:tab w:val="left" w:pos="2127" w:leader="none"/>
        </w:tabs>
        <w:ind w:hanging="709" w:left="2127"/>
      </w:pPr>
      <w:r>
        <w:t>Embed in concrete as indicated on the Contract Drawings.</w:t>
      </w:r>
    </w:p>
    <w:p>
      <w:pPr>
        <w:pStyle w:val="P36"/>
        <w:tabs>
          <w:tab w:val="left" w:pos="2127" w:leader="none"/>
        </w:tabs>
        <w:ind w:hanging="709" w:left="2127"/>
      </w:pPr>
      <w:r>
        <w:t>Backfill around posts and compact to the same density as the surrounding ground. Dispose of surplus material as directed by the Consultant.</w:t>
      </w:r>
    </w:p>
    <w:p>
      <w:pPr>
        <w:pStyle w:val="P36"/>
        <w:tabs>
          <w:tab w:val="left" w:pos="2127" w:leader="none"/>
        </w:tabs>
        <w:ind w:hanging="709" w:left="2127"/>
      </w:pPr>
      <w:r>
        <w:t>Install braces at end, corner and gate posts as indicated on the Contract Drawings. Join braces into posts and spike securely.</w:t>
      </w:r>
    </w:p>
    <w:p>
      <w:pPr>
        <w:pStyle w:val="P36"/>
        <w:tabs>
          <w:tab w:val="left" w:pos="2127" w:leader="none"/>
        </w:tabs>
        <w:ind w:hanging="709" w:left="2127"/>
      </w:pPr>
      <w:r>
        <w:t>Erect wires and stretch to have uniform tension. Splice wires with standard wire splices.</w:t>
      </w:r>
    </w:p>
    <w:p>
      <w:pPr>
        <w:pStyle w:val="P36"/>
        <w:tabs>
          <w:tab w:val="left" w:pos="2127" w:leader="none"/>
        </w:tabs>
        <w:ind w:hanging="709" w:left="2127"/>
      </w:pPr>
      <w:r>
        <w:t xml:space="preserve">Attach top wires to posts with a minimum of two staples. Fasten other wires to posts and cross braces with at least one staple.  Staple wires securely on end, anchor and gate posts.</w:t>
      </w:r>
    </w:p>
    <w:p>
      <w:pPr>
        <w:pStyle w:val="P36"/>
        <w:tabs>
          <w:tab w:val="left" w:pos="2127" w:leader="none"/>
        </w:tabs>
        <w:ind w:hanging="709" w:left="2127"/>
      </w:pPr>
      <w:r>
        <w:t>Stretch two strands of barbed wire along the tops of posts and double staple on posts.</w:t>
      </w:r>
    </w:p>
    <w:p>
      <w:pPr>
        <w:pStyle w:val="P35"/>
        <w:tabs>
          <w:tab w:val="left" w:pos="1418" w:leader="none"/>
          <w:tab w:val="clear" w:pos="1440" w:leader="none"/>
        </w:tabs>
        <w:ind w:hanging="709" w:left="1418"/>
      </w:pPr>
      <w:r>
        <w:t>Fencing with steel posts:</w:t>
      </w:r>
    </w:p>
    <w:p>
      <w:pPr>
        <w:pStyle w:val="P36"/>
        <w:tabs>
          <w:tab w:val="left" w:pos="2127" w:leader="none"/>
        </w:tabs>
        <w:ind w:hanging="709" w:left="2127"/>
      </w:pPr>
      <w:r>
        <w:t>Install steel posts to the depths as indicated on the Contract Drawings.</w:t>
      </w:r>
    </w:p>
    <w:p>
      <w:pPr>
        <w:pStyle w:val="P36"/>
        <w:tabs>
          <w:tab w:val="left" w:pos="2127" w:leader="none"/>
        </w:tabs>
        <w:ind w:hanging="709" w:left="2127"/>
      </w:pPr>
      <w:r>
        <w:t>Set the following items in concrete:</w:t>
      </w:r>
    </w:p>
    <w:p>
      <w:pPr>
        <w:pStyle w:val="P43"/>
        <w:tabs>
          <w:tab w:val="left" w:pos="2835" w:leader="none"/>
        </w:tabs>
        <w:ind w:hanging="708" w:left="2835"/>
      </w:pPr>
      <w:r>
        <w:t>End, corner and gate posts.</w:t>
      </w:r>
    </w:p>
    <w:p>
      <w:pPr>
        <w:pStyle w:val="P43"/>
        <w:tabs>
          <w:tab w:val="left" w:pos="2835" w:leader="none"/>
        </w:tabs>
        <w:ind w:hanging="708" w:left="2835"/>
      </w:pPr>
      <w:r>
        <w:t>Intermediate posts adjacent to end, corner and gate posts.</w:t>
      </w:r>
    </w:p>
    <w:p>
      <w:pPr>
        <w:pStyle w:val="P43"/>
        <w:tabs>
          <w:tab w:val="left" w:pos="2835" w:leader="none"/>
        </w:tabs>
        <w:ind w:hanging="708" w:left="2835"/>
      </w:pPr>
      <w:r>
        <w:t>Intermediate posts every 60 metres along the fence line.</w:t>
      </w:r>
    </w:p>
    <w:p>
      <w:pPr>
        <w:pStyle w:val="P43"/>
        <w:tabs>
          <w:tab w:val="left" w:pos="2835" w:leader="none"/>
        </w:tabs>
        <w:ind w:hanging="708" w:left="2835"/>
      </w:pPr>
      <w:r>
        <w:t>Ends of braces for corner, end and gate posts.</w:t>
      </w:r>
    </w:p>
    <w:p>
      <w:pPr>
        <w:pStyle w:val="P36"/>
        <w:tabs>
          <w:tab w:val="left" w:pos="2127" w:leader="none"/>
        </w:tabs>
        <w:ind w:hanging="709" w:left="2127"/>
      </w:pPr>
      <w:r>
        <w:t>Brace corner, end and gate posts as indicated on the Contract Drawings.</w:t>
      </w:r>
    </w:p>
    <w:p>
      <w:pPr>
        <w:pStyle w:val="P36"/>
        <w:tabs>
          <w:tab w:val="left" w:pos="2127" w:leader="none"/>
        </w:tabs>
        <w:ind w:hanging="709" w:left="2127"/>
      </w:pPr>
      <w:r>
        <w:t>Clamp a studded steel projection arm to each post as indicated on the Contract Drawings.</w:t>
      </w:r>
    </w:p>
    <w:p>
      <w:pPr>
        <w:pStyle w:val="P36"/>
        <w:tabs>
          <w:tab w:val="left" w:pos="2127" w:leader="none"/>
        </w:tabs>
        <w:ind w:hanging="709" w:left="2127"/>
      </w:pPr>
      <w:r>
        <w:t>Erect woven and barbed wire as indicated on the Contract Drawings.</w:t>
      </w:r>
    </w:p>
    <w:p>
      <w:pPr>
        <w:pStyle w:val="P36"/>
        <w:tabs>
          <w:tab w:val="left" w:pos="2127" w:leader="none"/>
        </w:tabs>
        <w:ind w:hanging="709" w:left="2127"/>
      </w:pPr>
      <w:r>
        <w:t>Stretch wires to have uniform tension. Splice wires with standard wire splices.</w:t>
      </w:r>
    </w:p>
    <w:p>
      <w:pPr>
        <w:pStyle w:val="P36"/>
        <w:tabs>
          <w:tab w:val="left" w:pos="2127" w:leader="none"/>
        </w:tabs>
        <w:ind w:hanging="709" w:left="2127"/>
      </w:pPr>
      <w:r>
        <w:t>Attach wires to posts and projection arms with approved metal clips.</w:t>
      </w:r>
    </w:p>
    <w:p>
      <w:pPr>
        <w:pStyle w:val="P34"/>
      </w:pPr>
      <w:r>
        <w:t>Installation of Gates</w:t>
      </w:r>
    </w:p>
    <w:p>
      <w:pPr>
        <w:pStyle w:val="P35"/>
        <w:tabs>
          <w:tab w:val="left" w:pos="1418" w:leader="none"/>
          <w:tab w:val="clear" w:pos="1440" w:leader="none"/>
        </w:tabs>
        <w:ind w:hanging="709" w:left="1418"/>
      </w:pPr>
      <w:r>
        <w:t>Install gates in the locations as indicated on the Contract Drawings.</w:t>
      </w:r>
    </w:p>
    <w:p>
      <w:pPr>
        <w:pStyle w:val="P35"/>
        <w:tabs>
          <w:tab w:val="left" w:pos="1418" w:leader="none"/>
          <w:tab w:val="clear" w:pos="1440" w:leader="none"/>
        </w:tabs>
        <w:ind w:hanging="709" w:left="1418"/>
      </w:pPr>
      <w:r>
        <w:t>Install gates in a manner which prevents over stress on the gate posts when the gates are open. Install on level ground with a ground clearance of 100 mm.</w:t>
      </w:r>
    </w:p>
    <w:p>
      <w:pPr>
        <w:pStyle w:val="P35"/>
        <w:tabs>
          <w:tab w:val="left" w:pos="1418" w:leader="none"/>
          <w:tab w:val="clear" w:pos="1440" w:leader="none"/>
        </w:tabs>
        <w:ind w:hanging="709" w:left="1418"/>
      </w:pPr>
      <w:r>
        <w:t>Locate the anchor pipe for the drop bolt, and install the pipe flush with the road surface.</w:t>
      </w:r>
    </w:p>
    <w:p>
      <w:pPr>
        <w:pStyle w:val="P34"/>
      </w:pPr>
      <w:r>
        <w:t>Cleaning</w:t>
      </w:r>
    </w:p>
    <w:p>
      <w:pPr>
        <w:pStyle w:val="P35"/>
        <w:tabs>
          <w:tab w:val="left" w:pos="1418" w:leader="none"/>
          <w:tab w:val="clear" w:pos="1440" w:leader="none"/>
        </w:tabs>
        <w:ind w:hanging="709" w:left="1418"/>
      </w:pPr>
      <w:r>
        <w:t>Clean and trim areas disturbed by operations. Dispose of surplus material.</w:t>
      </w:r>
    </w:p>
    <w:p>
      <w:pPr>
        <w:pStyle w:val="P34"/>
      </w:pPr>
      <w:r>
        <w:t>Touch-up</w:t>
      </w:r>
    </w:p>
    <w:p>
      <w:pPr>
        <w:pStyle w:val="P35"/>
        <w:tabs>
          <w:tab w:val="left" w:pos="1418" w:leader="none"/>
          <w:tab w:val="clear" w:pos="1440" w:leader="none"/>
        </w:tabs>
        <w:ind w:hanging="709" w:left="1418"/>
      </w:pPr>
      <w:r>
        <w:t xml:space="preserve">Clean damaged painted wood and metal surfaces with a wire brush to remove loose and cracked coatings.  Apply two coats of the same paint to damaged areas.</w:t>
      </w:r>
    </w:p>
    <w:p>
      <w:pPr>
        <w:pStyle w:val="P35"/>
        <w:tabs>
          <w:tab w:val="left" w:pos="1418" w:leader="none"/>
          <w:tab w:val="clear" w:pos="1440" w:leader="none"/>
        </w:tabs>
        <w:ind w:hanging="709" w:left="1418"/>
      </w:pPr>
      <w:r>
        <w:t xml:space="preserve">Clean damaged galvanized surfaces with a wire brush to remove loose and cracked coatings.  Apply two coats of an organic zinc rich coating.</w:t>
      </w:r>
    </w:p>
    <w:p>
      <w:pPr>
        <w:pStyle w:val="P18"/>
        <w:spacing w:before="240"/>
        <w:jc w:val="center"/>
        <w:rPr>
          <w:rFonts w:ascii="Calibri" w:hAnsi="Calibri"/>
          <w:sz w:val="22"/>
        </w:rPr>
      </w:pPr>
      <w:r>
        <w:rPr>
          <w:rFonts w:ascii="Calibri" w:hAnsi="Calibri"/>
          <w:b w:val="1"/>
          <w:sz w:val="22"/>
        </w:rPr>
        <w:t>END OF SECTION</w:t>
      </w:r>
      <w:r>
        <w:rPr>
          <w:rFonts w:ascii="Calibri" w:hAnsi="Calibri"/>
          <w:b w:val="1"/>
          <w:sz w:val="22"/>
        </w:rPr>
        <w:t xml:space="preserve"> </w:t>
      </w:r>
    </w:p>
    <w:p>
      <w:pPr>
        <w:pStyle w:val="P18"/>
        <w:rPr>
          <w:rFonts w:ascii="Calibri" w:hAnsi="Calibri"/>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02822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WIRE FENCES AND GATES</w:t>
    </w:r>
    <w:r>
      <w:rPr>
        <w:rFonts w:ascii="Arial" w:hAnsi="Arial"/>
      </w:rPr>
      <w:tab/>
      <w:t>2006-08-30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02822</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WIRE FENCES AND GATES</w:t>
    </w:r>
    <w:r>
      <w:tab/>
      <w:t>2017-02-21</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02822</w:t>
      <w:tab/>
      <w:t>CONTRACT NO</w:t>
    </w:r>
    <w:r>
      <w:rPr>
        <w:highlight w:val="lightGray"/>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2017-02-21</w:t>
    </w:r>
    <w:r>
      <w:rPr>
        <w:b w:val="1"/>
      </w:rPr>
      <w:tab/>
      <w:t>WIRE FENCES AND GATES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lightGray"/>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5E7D41E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720" w:left="2160"/>
        <w:tabs>
          <w:tab w:val="left" w:pos="1440" w:leader="none"/>
        </w:tabs>
      </w:pPr>
      <w:rPr/>
    </w:lvl>
    <w:lvl w:ilvl="2">
      <w:start w:val="1"/>
      <w:numFmt w:val="decimal"/>
      <w:suff w:val="tab"/>
      <w:lvlText w:val=".%3"/>
      <w:lvlJc w:val="left"/>
      <w:pPr>
        <w:ind w:hanging="720" w:left="4320"/>
        <w:tabs>
          <w:tab w:val="left" w:pos="720" w:leader="none"/>
        </w:tabs>
      </w:pPr>
      <w:rPr>
        <w:rFonts w:ascii="Calibri" w:hAnsi="Calibri"/>
        <w:color w:val="000000"/>
        <w:sz w:val="22"/>
      </w:rPr>
    </w:lvl>
    <w:lvl w:ilvl="3">
      <w:start w:val="1"/>
      <w:numFmt w:val="decimal"/>
      <w:suff w:val="tab"/>
      <w:lvlText w:val=".%4"/>
      <w:lvlJc w:val="left"/>
      <w:pPr>
        <w:ind w:hanging="720" w:left="5040"/>
        <w:tabs>
          <w:tab w:val="left" w:pos="864" w:leader="none"/>
        </w:tabs>
      </w:pPr>
      <w:rPr>
        <w:rFonts w:ascii="Calibri" w:hAnsi="Calibri"/>
        <w:b w:val="0"/>
        <w:i w:val="0"/>
        <w:sz w:val="22"/>
      </w:rPr>
    </w:lvl>
    <w:lvl w:ilvl="4">
      <w:start w:val="1"/>
      <w:numFmt w:val="decimal"/>
      <w:suff w:val="tab"/>
      <w:lvlText w:val="%5."/>
      <w:lvlJc w:val="left"/>
      <w:pPr>
        <w:ind w:hanging="720" w:left="5760"/>
        <w:tabs>
          <w:tab w:val="left" w:pos="720" w:leader="none"/>
        </w:tabs>
      </w:pPr>
      <w:rPr>
        <w:rFonts w:ascii="Calibri" w:hAnsi="Calibri"/>
        <w:b w:val="0"/>
        <w:i w:val="0"/>
        <w:sz w:val="22"/>
      </w:rPr>
    </w:lvl>
    <w:lvl w:ilvl="5">
      <w:start w:val="1"/>
      <w:numFmt w:val="decimal"/>
      <w:suff w:val="tab"/>
      <w:lvlText w:val=".%6"/>
      <w:lvlJc w:val="left"/>
      <w:pPr>
        <w:ind w:hanging="720" w:left="6480"/>
        <w:tabs>
          <w:tab w:val="left" w:pos="6480" w:leader="none"/>
        </w:tabs>
      </w:pPr>
      <w:rPr>
        <w:rFonts w:ascii="Calibri" w:hAnsi="Calibri"/>
        <w:b w:val="0"/>
        <w:i w:val="0"/>
        <w:sz w:val="22"/>
      </w:rPr>
    </w:lvl>
    <w:lvl w:ilvl="6">
      <w:start w:val="1"/>
      <w:numFmt w:val="decimal"/>
      <w:suff w:val="tab"/>
      <w:lvlText w:val=".%7"/>
      <w:lvlJc w:val="left"/>
      <w:pPr>
        <w:ind w:hanging="720" w:left="7200"/>
        <w:tabs>
          <w:tab w:val="left" w:pos="6660" w:leader="none"/>
        </w:tabs>
      </w:pPr>
      <w:rPr>
        <w:rFonts w:ascii="Calibri" w:hAnsi="Calibri"/>
        <w:b w:val="0"/>
        <w:i w:val="0"/>
        <w:sz w:val="22"/>
      </w:rPr>
    </w:lvl>
    <w:lvl w:ilvl="7">
      <w:start w:val="1"/>
      <w:numFmt w:val="decimal"/>
      <w:suff w:val="tab"/>
      <w:lvlText w:val=".%8"/>
      <w:lvlJc w:val="left"/>
      <w:pPr>
        <w:ind w:hanging="720" w:left="7920"/>
        <w:tabs>
          <w:tab w:val="left" w:pos="7200" w:leader="none"/>
        </w:tabs>
      </w:pPr>
      <w:rPr>
        <w:rFonts w:ascii="Calibri" w:hAnsi="Calibri"/>
        <w:b w:val="0"/>
        <w:i w:val="0"/>
        <w:sz w:val="22"/>
      </w:rPr>
    </w:lvl>
    <w:lvl w:ilvl="8">
      <w:start w:val="1"/>
      <w:numFmt w:val="decimal"/>
      <w:suff w:val="tab"/>
      <w:lvlText w:val=".%9"/>
      <w:lvlJc w:val="left"/>
      <w:pPr>
        <w:ind w:hanging="720" w:left="8640"/>
        <w:tabs>
          <w:tab w:val="left" w:pos="7920" w:leader="none"/>
        </w:tabs>
      </w:pPr>
      <w:rPr>
        <w:rFonts w:ascii="Calibri" w:hAnsi="Calibri"/>
        <w:b w:val="0"/>
        <w:i w:val="0"/>
        <w:sz w:val="22"/>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54C33CF"/>
    <w:multiLevelType w:val="hybridMultilevel"/>
    <w:lvl w:ilvl="0" w:tplc="44312C5E">
      <w:start w:val="1"/>
      <w:numFmt w:val="bullet"/>
      <w:suff w:val="tab"/>
      <w:lvlText w:val=""/>
      <w:lvlJc w:val="left"/>
      <w:pPr>
        <w:ind w:hanging="360" w:left="720"/>
        <w:tabs>
          <w:tab w:val="left" w:pos="720" w:leader="none"/>
        </w:tabs>
      </w:pPr>
      <w:rPr>
        <w:rFonts w:ascii="Symbol" w:hAnsi="Symbol"/>
      </w:rPr>
    </w:lvl>
    <w:lvl w:ilvl="1" w:tplc="466E7D09">
      <w:start w:val="1"/>
      <w:numFmt w:val="bullet"/>
      <w:suff w:val="tab"/>
      <w:lvlText w:val="o"/>
      <w:lvlJc w:val="left"/>
      <w:pPr>
        <w:ind w:hanging="360" w:left="1440"/>
        <w:tabs>
          <w:tab w:val="left" w:pos="1440" w:leader="none"/>
        </w:tabs>
      </w:pPr>
      <w:rPr>
        <w:rFonts w:ascii="Courier New" w:hAnsi="Courier New"/>
      </w:rPr>
    </w:lvl>
    <w:lvl w:ilvl="2" w:tplc="439E673C">
      <w:start w:val="1"/>
      <w:numFmt w:val="bullet"/>
      <w:suff w:val="tab"/>
      <w:lvlText w:val=""/>
      <w:lvlJc w:val="left"/>
      <w:pPr>
        <w:ind w:hanging="360" w:left="2160"/>
        <w:tabs>
          <w:tab w:val="left" w:pos="2160" w:leader="none"/>
        </w:tabs>
      </w:pPr>
      <w:rPr>
        <w:rFonts w:ascii="Wingdings" w:hAnsi="Wingdings"/>
      </w:rPr>
    </w:lvl>
    <w:lvl w:ilvl="3" w:tplc="7827F112">
      <w:start w:val="1"/>
      <w:numFmt w:val="bullet"/>
      <w:suff w:val="tab"/>
      <w:lvlText w:val=""/>
      <w:lvlJc w:val="left"/>
      <w:pPr>
        <w:ind w:hanging="360" w:left="2880"/>
        <w:tabs>
          <w:tab w:val="left" w:pos="2880" w:leader="none"/>
        </w:tabs>
      </w:pPr>
      <w:rPr>
        <w:rFonts w:ascii="Symbol" w:hAnsi="Symbol"/>
      </w:rPr>
    </w:lvl>
    <w:lvl w:ilvl="4" w:tplc="1A94D12A">
      <w:start w:val="1"/>
      <w:numFmt w:val="bullet"/>
      <w:suff w:val="tab"/>
      <w:lvlText w:val="o"/>
      <w:lvlJc w:val="left"/>
      <w:pPr>
        <w:ind w:hanging="360" w:left="3600"/>
        <w:tabs>
          <w:tab w:val="left" w:pos="3600" w:leader="none"/>
        </w:tabs>
      </w:pPr>
      <w:rPr>
        <w:rFonts w:ascii="Courier New" w:hAnsi="Courier New"/>
      </w:rPr>
    </w:lvl>
    <w:lvl w:ilvl="5" w:tplc="404C3061">
      <w:start w:val="1"/>
      <w:numFmt w:val="bullet"/>
      <w:suff w:val="tab"/>
      <w:lvlText w:val=""/>
      <w:lvlJc w:val="left"/>
      <w:pPr>
        <w:ind w:hanging="360" w:left="4320"/>
        <w:tabs>
          <w:tab w:val="left" w:pos="4320" w:leader="none"/>
        </w:tabs>
      </w:pPr>
      <w:rPr>
        <w:rFonts w:ascii="Wingdings" w:hAnsi="Wingdings"/>
      </w:rPr>
    </w:lvl>
    <w:lvl w:ilvl="6" w:tplc="52106F2C">
      <w:start w:val="1"/>
      <w:numFmt w:val="bullet"/>
      <w:suff w:val="tab"/>
      <w:lvlText w:val=""/>
      <w:lvlJc w:val="left"/>
      <w:pPr>
        <w:ind w:hanging="360" w:left="5040"/>
        <w:tabs>
          <w:tab w:val="left" w:pos="5040" w:leader="none"/>
        </w:tabs>
      </w:pPr>
      <w:rPr>
        <w:rFonts w:ascii="Symbol" w:hAnsi="Symbol"/>
      </w:rPr>
    </w:lvl>
    <w:lvl w:ilvl="7" w:tplc="54A7D6F1">
      <w:start w:val="1"/>
      <w:numFmt w:val="bullet"/>
      <w:suff w:val="tab"/>
      <w:lvlText w:val="o"/>
      <w:lvlJc w:val="left"/>
      <w:pPr>
        <w:ind w:hanging="360" w:left="5760"/>
        <w:tabs>
          <w:tab w:val="left" w:pos="5760" w:leader="none"/>
        </w:tabs>
      </w:pPr>
      <w:rPr>
        <w:rFonts w:ascii="Courier New" w:hAnsi="Courier New"/>
      </w:rPr>
    </w:lvl>
    <w:lvl w:ilvl="8" w:tplc="416C460B">
      <w:start w:val="1"/>
      <w:numFmt w:val="bullet"/>
      <w:suff w:val="tab"/>
      <w:lvlText w:val=""/>
      <w:lvlJc w:val="left"/>
      <w:pPr>
        <w:ind w:hanging="360" w:left="6480"/>
        <w:tabs>
          <w:tab w:val="left" w:pos="6480" w:leader="none"/>
        </w:tabs>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8"/>
    <w:qFormat/>
    <w:pPr>
      <w:numPr>
        <w:numId w:val="29"/>
      </w:numPr>
      <w:spacing w:before="160"/>
      <w:contextualSpacing w:val="1"/>
      <w:outlineLvl w:val="0"/>
    </w:pPr>
    <w:rPr>
      <w:rFonts w:ascii="Calibri" w:hAnsi="Calibri"/>
      <w:caps w:val="1"/>
    </w:rPr>
  </w:style>
  <w:style w:type="paragraph" w:styleId="P34">
    <w:name w:val="Heading 2"/>
    <w:basedOn w:val="P22"/>
    <w:next w:val="P0"/>
    <w:link w:val="C9"/>
    <w:qFormat/>
    <w:pPr>
      <w:numPr>
        <w:ilvl w:val="1"/>
        <w:numId w:val="29"/>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9"/>
      </w:numPr>
      <w:contextualSpacing w:val="1"/>
      <w:outlineLvl w:val="2"/>
    </w:pPr>
    <w:rPr/>
  </w:style>
  <w:style w:type="paragraph" w:styleId="P36">
    <w:name w:val="Heading 4"/>
    <w:basedOn w:val="P22"/>
    <w:next w:val="P36"/>
    <w:link w:val="C10"/>
    <w:qFormat/>
    <w:pPr>
      <w:numPr>
        <w:ilvl w:val="3"/>
        <w:numId w:val="29"/>
      </w:numPr>
      <w:contextualSpacing w:val="1"/>
      <w:outlineLvl w:val="3"/>
    </w:pPr>
    <w:rPr/>
  </w:style>
  <w:style w:type="paragraph" w:styleId="P37">
    <w:name w:val="Heading 7"/>
    <w:basedOn w:val="P22"/>
    <w:next w:val="P0"/>
    <w:link w:val="C13"/>
    <w:qFormat/>
    <w:pPr>
      <w:numPr>
        <w:ilvl w:val="6"/>
        <w:numId w:val="29"/>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1"/>
    <w:qFormat/>
    <w:pPr>
      <w:numPr>
        <w:ilvl w:val="4"/>
        <w:numId w:val="29"/>
      </w:numPr>
      <w:outlineLvl w:val="4"/>
    </w:pPr>
    <w:rPr/>
  </w:style>
  <w:style w:type="paragraph" w:styleId="P44">
    <w:name w:val="Heading 8"/>
    <w:basedOn w:val="P37"/>
    <w:next w:val="P0"/>
    <w:link w:val="C14"/>
    <w:qFormat/>
    <w:pPr>
      <w:numPr>
        <w:ilvl w:val="7"/>
        <w:numId w:val="29"/>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2"/>
    <w:qFormat/>
    <w:pPr>
      <w:numPr>
        <w:ilvl w:val="5"/>
        <w:numId w:val="29"/>
      </w:numPr>
      <w:outlineLvl w:val="5"/>
    </w:pPr>
    <w:rPr/>
  </w:style>
  <w:style w:type="paragraph" w:styleId="P48">
    <w:name w:val="Heading 9"/>
    <w:basedOn w:val="P44"/>
    <w:next w:val="P0"/>
    <w:link w:val="C15"/>
    <w:qFormat/>
    <w:pPr>
      <w:numPr>
        <w:ilvl w:val="8"/>
        <w:numId w:val="27"/>
      </w:numPr>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Heading 1 Char"/>
    <w:link w:val="P33"/>
    <w:rPr>
      <w:rFonts w:ascii="Calibri" w:hAnsi="Calibri"/>
      <w:caps w:val="1"/>
    </w:rPr>
  </w:style>
  <w:style w:type="character" w:styleId="C9">
    <w:name w:val="Heading 2 Char"/>
    <w:link w:val="P34"/>
    <w:rPr>
      <w:rFonts w:ascii="Calibri" w:hAnsi="Calibri"/>
      <w:u w:val="single"/>
    </w:rPr>
  </w:style>
  <w:style w:type="character" w:styleId="C10">
    <w:name w:val="Heading 4 Char"/>
    <w:link w:val="P36"/>
    <w:rPr/>
  </w:style>
  <w:style w:type="character" w:styleId="C11">
    <w:name w:val="Heading 5 Char"/>
    <w:link w:val="P43"/>
    <w:rPr/>
  </w:style>
  <w:style w:type="character" w:styleId="C12">
    <w:name w:val="Heading 6 Char"/>
    <w:link w:val="P47"/>
    <w:rPr/>
  </w:style>
  <w:style w:type="character" w:styleId="C13">
    <w:name w:val="Heading 7 Char"/>
    <w:link w:val="P37"/>
    <w:rPr/>
  </w:style>
  <w:style w:type="character" w:styleId="C14">
    <w:name w:val="Heading 8 Char"/>
    <w:link w:val="P44"/>
    <w:rPr/>
  </w:style>
  <w:style w:type="character" w:styleId="C15">
    <w:name w:val="Heading 9 Char"/>
    <w:link w:val="P48"/>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2015-04-23T20:10:00Z</dcterms:created>
  <cp:lastModifiedBy>Ray</cp:lastModifiedBy>
  <cp:lastPrinted>2006-08-29T19:22:00Z</cp:lastPrinted>
  <dcterms:modified xsi:type="dcterms:W3CDTF">2022-10-04T19:38:51Z</dcterms:modified>
  <cp:revision>7</cp:revision>
  <dc:title>02822_Wire_Fences_and_Gates (Apr 23,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2017-02-21T00:00:00Z</vt:lpwstr>
  </property>
</Properties>
</file>