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F83E39D" Type="http://schemas.openxmlformats.org/officeDocument/2006/relationships/officeDocument" Target="/word/document.xml" /><Relationship Id="coreR5F83E39D" Type="http://schemas.openxmlformats.org/package/2006/relationships/metadata/core-properties" Target="/docProps/core.xml" /><Relationship Id="customR5F83E3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r>
        <w:rPr>
          <w:rFonts w:ascii="Calibri" w:hAnsi="Calibri"/>
        </w:rPr>
        <w:t>References</w:t>
      </w:r>
    </w:p>
    <w:p>
      <w:pPr>
        <w:pStyle w:val="P1"/>
        <w:numPr>
          <w:ilvl w:val="0"/>
          <w:numId w:val="11"/>
        </w:numPr>
        <w:rPr>
          <w:rFonts w:ascii="Calibri" w:hAnsi="Calibri"/>
        </w:rPr>
      </w:pPr>
      <w:r>
        <w:rPr>
          <w:rFonts w:ascii="Calibri" w:hAnsi="Calibri"/>
        </w:rPr>
        <w:t>Section 02935 – Planting of Trees, Shrubs and Ground Covers</w:t>
      </w:r>
    </w:p>
    <w:p>
      <w:pPr>
        <w:pStyle w:val="P1"/>
        <w:rPr>
          <w:rFonts w:ascii="Calibri" w:hAnsi="Calibri"/>
        </w:rPr>
      </w:pPr>
    </w:p>
    <w:p>
      <w:pPr>
        <w:pStyle w:val="P1"/>
        <w:rPr>
          <w:rFonts w:ascii="Calibri" w:hAnsi="Calibri"/>
        </w:rPr>
      </w:pPr>
      <w:r>
        <w:rPr>
          <w:rFonts w:ascii="Calibri" w:hAnsi="Calibri"/>
        </w:rPr>
        <w:t>Replacement Parts</w:t>
      </w:r>
    </w:p>
    <w:p>
      <w:pPr>
        <w:pStyle w:val="P1"/>
        <w:rPr>
          <w:rFonts w:ascii="Calibri" w:hAnsi="Calibri"/>
        </w:rPr>
      </w:pPr>
      <w:r>
        <w:rPr>
          <w:rFonts w:ascii="Calibri" w:hAnsi="Calibri"/>
        </w:rPr>
        <w:t>•</w:t>
        <w:tab/>
        <w:t>None</w:t>
      </w:r>
    </w:p>
    <w:p>
      <w:pPr>
        <w:pStyle w:val="P32"/>
        <w:tabs>
          <w:tab w:val="left" w:pos="1080" w:leader="none"/>
        </w:tabs>
        <w:ind w:hanging="1080" w:left="1080"/>
      </w:pPr>
      <w:r>
        <w:br w:type="page"/>
        <w:t>GEneral</w:t>
      </w:r>
    </w:p>
    <w:p>
      <w:pPr>
        <w:pStyle w:val="P33"/>
      </w:pPr>
      <w:r>
        <w:t>General</w:t>
      </w:r>
    </w:p>
    <w:p>
      <w:pPr>
        <w:pStyle w:val="P34"/>
        <w:tabs>
          <w:tab w:val="left" w:pos="1418" w:leader="none"/>
          <w:tab w:val="clear" w:pos="1440" w:leader="none"/>
        </w:tabs>
        <w:ind w:hanging="709" w:left="1418"/>
      </w:pPr>
      <w:r>
        <w:t xml:space="preserve">Work Included:  To carry out the maintenance of seeded and sodded areas, and plant material for the duration of the warranty period that extends 2 years from the date of Total Performance of the Work.  Refer to Section 02935 - Planting of Trees, Shrubs and Ground Covers.</w:t>
      </w:r>
    </w:p>
    <w:p>
      <w:pPr>
        <w:pStyle w:val="P35"/>
        <w:tabs>
          <w:tab w:val="left" w:pos="2127" w:leader="none"/>
        </w:tabs>
        <w:ind w:hanging="709" w:left="2127"/>
      </w:pPr>
      <w:r>
        <w:t>Ensure health and vigour of seed</w:t>
      </w:r>
    </w:p>
    <w:p>
      <w:pPr>
        <w:pStyle w:val="P35"/>
        <w:tabs>
          <w:tab w:val="left" w:pos="2127" w:leader="none"/>
        </w:tabs>
        <w:ind w:hanging="709" w:left="2127"/>
      </w:pPr>
      <w:r>
        <w:t>Ensure health and vigour of trees, shrubs, and ground covers</w:t>
      </w:r>
    </w:p>
    <w:p>
      <w:pPr>
        <w:pStyle w:val="P35"/>
        <w:tabs>
          <w:tab w:val="left" w:pos="2127" w:leader="none"/>
        </w:tabs>
        <w:ind w:hanging="709" w:left="2127"/>
      </w:pPr>
      <w:r>
        <w:t>Ensure health and vigour of seedlings</w:t>
      </w:r>
    </w:p>
    <w:p>
      <w:pPr>
        <w:pStyle w:val="P34"/>
        <w:tabs>
          <w:tab w:val="left" w:pos="1418" w:leader="none"/>
          <w:tab w:val="clear" w:pos="1440" w:leader="none"/>
        </w:tabs>
        <w:ind w:hanging="709" w:left="1418"/>
      </w:pPr>
      <w:r>
        <w:t>Basis of Payment</w:t>
      </w:r>
    </w:p>
    <w:p>
      <w:pPr>
        <w:pStyle w:val="P35"/>
        <w:tabs>
          <w:tab w:val="left" w:pos="2127" w:leader="none"/>
        </w:tabs>
        <w:ind w:hanging="709" w:left="2127"/>
      </w:pPr>
      <w:r>
        <w:t xml:space="preserve">No measurement will be made. </w:t>
      </w:r>
    </w:p>
    <w:p>
      <w:pPr>
        <w:pStyle w:val="P35"/>
        <w:tabs>
          <w:tab w:val="left" w:pos="2127" w:leader="none"/>
        </w:tabs>
        <w:ind w:hanging="709" w:left="2127"/>
      </w:pPr>
      <w:r>
        <w:t>Payment at the Contract Price for the various tender items will be full compensation for all labour, equipment and materials for appropriate permanent and temporary Works required to perform the Work of this Section.</w:t>
      </w:r>
    </w:p>
    <w:p>
      <w:pPr>
        <w:pStyle w:val="P34"/>
        <w:tabs>
          <w:tab w:val="left" w:pos="1418" w:leader="none"/>
          <w:tab w:val="clear" w:pos="1440" w:leader="none"/>
        </w:tabs>
        <w:ind w:hanging="709" w:left="1418"/>
      </w:pPr>
      <w:r>
        <w:t>Default</w:t>
      </w:r>
    </w:p>
    <w:p>
      <w:pPr>
        <w:pStyle w:val="P35"/>
        <w:tabs>
          <w:tab w:val="left" w:pos="2127" w:leader="none"/>
        </w:tabs>
        <w:ind w:hanging="709" w:left="2127"/>
      </w:pPr>
      <w:r>
        <w:t>In the event that the Contractor fails to respond to maintenance and warranty requests within 14 Days from the Consultant’s written notification, the Region may have this work performed by Other Contractors and will deduct the costs thereof from any monies owing to the Contractor.</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3"/>
      </w:pPr>
      <w:r>
        <w:t>Qualification of Contractor</w:t>
      </w:r>
    </w:p>
    <w:p>
      <w:pPr>
        <w:pStyle w:val="P34"/>
        <w:tabs>
          <w:tab w:val="left" w:pos="1418" w:leader="none"/>
          <w:tab w:val="clear" w:pos="1440" w:leader="none"/>
        </w:tabs>
        <w:ind w:hanging="709" w:left="1418"/>
      </w:pPr>
      <w:r>
        <w:t>Maintenance Work will be performed by experienced, qualified personnel with at least five (5) years of horticultural and planting experience.</w:t>
      </w:r>
    </w:p>
    <w:p>
      <w:pPr>
        <w:pStyle w:val="P33"/>
      </w:pPr>
      <w:r>
        <w:t>Maintenance Inspections and Reporting Procedures</w:t>
      </w:r>
    </w:p>
    <w:p>
      <w:pPr>
        <w:pStyle w:val="P34"/>
        <w:tabs>
          <w:tab w:val="left" w:pos="1418" w:leader="none"/>
          <w:tab w:val="clear" w:pos="1440" w:leader="none"/>
        </w:tabs>
        <w:ind w:hanging="567" w:left="1418"/>
      </w:pPr>
      <w:r>
        <w:t xml:space="preserve">The Work of this Section will be inspected by Consultant on the anniversary of the first year of the maintenance period and again prior to the completion of the second year of the maintenance period.  A maintenance report will be provided to the Contractor based upon the findings of the inspection.</w:t>
      </w:r>
    </w:p>
    <w:p>
      <w:pPr>
        <w:pStyle w:val="P34"/>
        <w:tabs>
          <w:tab w:val="left" w:pos="1418" w:leader="none"/>
          <w:tab w:val="clear" w:pos="1440" w:leader="none"/>
        </w:tabs>
        <w:ind w:hanging="567" w:left="1418"/>
      </w:pPr>
      <w:r>
        <w:t xml:space="preserve">The Contractor shall report in writing to the Consultant the maintenance Work performed and a schedule of the Work to be performed on a seasonal basis: Spring Report by May 1, Summer Report by September 1, and a Fall Report by November 1.  The Contractor shall report immediately any damages resulting from vandalism or other causes beyond the Contractor's control to the Consultant.</w:t>
      </w:r>
    </w:p>
    <w:p>
      <w:pPr>
        <w:pStyle w:val="P34"/>
        <w:tabs>
          <w:tab w:val="left" w:pos="1418" w:leader="none"/>
          <w:tab w:val="clear" w:pos="1440" w:leader="none"/>
        </w:tabs>
        <w:ind w:hanging="567" w:left="1418"/>
      </w:pPr>
      <w:r>
        <w:t xml:space="preserve">The Contractor shall make periodic inspections of plants and seeded areas during the maintenance period and notify the Consultant in writing of preventative or corrective measures necessary to maintain the plants and seeded areas in a good, healthy condition.  Inspection of the Site will be carried out by the Contractor on a bi-weekly basis.  Inspections will focus on the assessment of plant vigour, grass density, weed growth to establish corrective measures, and other Site specific observations related to plant health.</w:t>
      </w:r>
    </w:p>
    <w:p>
      <w:pPr>
        <w:pStyle w:val="P34"/>
        <w:tabs>
          <w:tab w:val="left" w:pos="1418" w:leader="none"/>
          <w:tab w:val="clear" w:pos="1440" w:leader="none"/>
        </w:tabs>
        <w:ind w:hanging="567" w:left="1418"/>
      </w:pPr>
      <w:r>
        <w:t>Coordinate all Work with the Consultant to ensure that there is no interference with the operation and maintenance of the Site.</w:t>
      </w:r>
    </w:p>
    <w:p>
      <w:pPr>
        <w:pStyle w:val="P32"/>
      </w:pPr>
      <w:r>
        <w:t>PRODUCTS (NOT USED)</w:t>
      </w:r>
    </w:p>
    <w:p>
      <w:pPr>
        <w:pStyle w:val="P32"/>
      </w:pPr>
      <w:r>
        <w:t>EXECUTION</w:t>
      </w:r>
    </w:p>
    <w:p>
      <w:pPr>
        <w:pStyle w:val="P33"/>
      </w:pPr>
      <w:r>
        <w:t>Maintenance of Trees, Shrubs, Ground Covers and Seedlings</w:t>
      </w:r>
    </w:p>
    <w:p>
      <w:pPr>
        <w:pStyle w:val="P34"/>
        <w:tabs>
          <w:tab w:val="left" w:pos="1418" w:leader="none"/>
          <w:tab w:val="clear" w:pos="1440" w:leader="none"/>
        </w:tabs>
        <w:ind w:hanging="709" w:left="1418"/>
      </w:pPr>
      <w:r>
        <w:t>Include in the Work of this Section the maintenance required to ensure vigorous and healthy growth of trees, shrubs, ground</w:t>
        <w:br w:type="textWrapping"/>
        <w:t>covers and s</w:t>
      </w:r>
      <w:r>
        <w:rPr>
          <w:u w:val="single"/>
        </w:rPr>
        <w:t>eedlings</w:t>
      </w:r>
      <w:r>
        <w:t xml:space="preserve">.  Maintenance will consist of, but not be limited to, the following: pruning, cultivating, weeding, fertilizing, mulching, watering, repair of trunk wrapping, securing of tree guys, tightening of guys, resetting to proper grade or upright position, spraying to keep free of pests, insects and disease, and barriers to prevent damage by persons or animals.</w:t>
      </w:r>
    </w:p>
    <w:p>
      <w:pPr>
        <w:pStyle w:val="P34"/>
        <w:tabs>
          <w:tab w:val="left" w:pos="1418" w:leader="none"/>
          <w:tab w:val="clear" w:pos="1440" w:leader="none"/>
        </w:tabs>
        <w:ind w:hanging="709" w:left="1418"/>
      </w:pPr>
      <w:r>
        <w:t xml:space="preserve">Remove unwanted vegetation from mulched planting beds during the maintenance period.  </w:t>
      </w:r>
    </w:p>
    <w:p>
      <w:pPr>
        <w:pStyle w:val="P33"/>
      </w:pPr>
      <w:r>
        <w:t>Adjustment and Replacement</w:t>
      </w:r>
    </w:p>
    <w:p>
      <w:pPr>
        <w:pStyle w:val="P34"/>
        <w:tabs>
          <w:tab w:val="left" w:pos="1418" w:leader="none"/>
          <w:tab w:val="clear" w:pos="1440" w:leader="none"/>
        </w:tabs>
        <w:ind w:hanging="709" w:left="1418"/>
      </w:pPr>
      <w:r>
        <w:t xml:space="preserve">Perform adjustment and replacement Work with materials of the same type and quality as outlined in the Contract Drawings and Section 02935 - Planting of Trees, Shrubs and Ground Covers.   Replacement Work will have a warranty of the same length with the same conditions as outlined in Section 02935 - Planting of Trees Shrubs and Ground Covers.  The renewed warranty shall commence from the time of approval of the replacement work by the Region.</w:t>
      </w:r>
    </w:p>
    <w:p>
      <w:pPr>
        <w:pStyle w:val="P34"/>
        <w:keepNext w:val="1"/>
        <w:keepLines w:val="1"/>
        <w:tabs>
          <w:tab w:val="left" w:pos="1418" w:leader="none"/>
          <w:tab w:val="clear" w:pos="1440" w:leader="none"/>
        </w:tabs>
        <w:ind w:hanging="709" w:left="1418"/>
      </w:pPr>
      <w:r>
        <w:t xml:space="preserve">Replace plant stock that is dead, or not in a flourishing growing state, or does not meet the Specifications.  Remove dead stock immediately.  Replace stock at the proper time during the next planting season.  Tag or mark replacement material in a permanently visible manner, and notify the Consultant in writing of the date upon which thereplacement was planted.  Include a sketch showing the location of replaced plants.  </w:t>
      </w:r>
    </w:p>
    <w:p>
      <w:pPr>
        <w:pStyle w:val="P34"/>
        <w:tabs>
          <w:tab w:val="left" w:pos="1418" w:leader="none"/>
          <w:tab w:val="clear" w:pos="1440" w:leader="none"/>
        </w:tabs>
        <w:ind w:hanging="709" w:left="1418"/>
      </w:pPr>
      <w:r>
        <w:t>After settlement has occurred at planting pits, fill in to the specified grade with planting soil mixture.</w:t>
      </w:r>
    </w:p>
    <w:p>
      <w:pPr>
        <w:pStyle w:val="P33"/>
      </w:pPr>
      <w:r>
        <w:t>Weed Control</w:t>
      </w:r>
    </w:p>
    <w:p>
      <w:pPr>
        <w:pStyle w:val="P34"/>
        <w:tabs>
          <w:tab w:val="left" w:pos="1418" w:leader="none"/>
          <w:tab w:val="clear" w:pos="1440" w:leader="none"/>
        </w:tabs>
        <w:ind w:hanging="709" w:left="1418"/>
      </w:pPr>
      <w:r>
        <w:t xml:space="preserve">Tree Pits and Planting Beds: weed planting berm/saucer and planting bed mulch on a on a regular basis.  Top up mulch to ensure 100 mm of depth during the maintenance period.</w:t>
      </w:r>
    </w:p>
    <w:p>
      <w:pPr>
        <w:pStyle w:val="P34"/>
        <w:tabs>
          <w:tab w:val="left" w:pos="1418" w:leader="none"/>
          <w:tab w:val="clear" w:pos="1440" w:leader="none"/>
        </w:tabs>
        <w:ind w:hanging="709" w:left="1418"/>
      </w:pPr>
      <w:r>
        <w:t xml:space="preserve">Application of herbicide to control grass growth around trees and planting beds will be coordinated with a licenced herbicidal applicator acceptable to the Consultant.  Any application of herbicide will be confirmed with the Consultant prior to being carried out.</w:t>
      </w:r>
    </w:p>
    <w:p>
      <w:pPr>
        <w:pStyle w:val="P34"/>
        <w:tabs>
          <w:tab w:val="left" w:pos="1418" w:leader="none"/>
          <w:tab w:val="clear" w:pos="1440" w:leader="none"/>
        </w:tabs>
        <w:ind w:hanging="709" w:left="1418"/>
      </w:pPr>
      <w:r>
        <w:t>Ensure that tree guards at the bases of trees and shrubs remain intact.</w:t>
      </w:r>
    </w:p>
    <w:p>
      <w:pPr>
        <w:pStyle w:val="P34"/>
        <w:tabs>
          <w:tab w:val="left" w:pos="1418" w:leader="none"/>
          <w:tab w:val="clear" w:pos="1440" w:leader="none"/>
        </w:tabs>
        <w:ind w:hanging="709" w:left="1418"/>
      </w:pPr>
      <w:r>
        <w:t>Remove stakes and guys at the end of the maintenance period.</w:t>
      </w:r>
    </w:p>
    <w:p>
      <w:pPr>
        <w:pStyle w:val="P33"/>
      </w:pPr>
      <w:r>
        <w:t>Fertilizing</w:t>
      </w:r>
    </w:p>
    <w:p>
      <w:pPr>
        <w:pStyle w:val="P34"/>
        <w:tabs>
          <w:tab w:val="left" w:pos="1418" w:leader="none"/>
          <w:tab w:val="clear" w:pos="1440" w:leader="none"/>
        </w:tabs>
        <w:ind w:hanging="709" w:left="1418"/>
      </w:pPr>
      <w:r>
        <w:t>Fertilize plant material as necessary to maintain plants in a healthy vigorous growing condition.</w:t>
      </w:r>
    </w:p>
    <w:p>
      <w:pPr>
        <w:pStyle w:val="P33"/>
      </w:pPr>
      <w:r>
        <w:t>Watering</w:t>
      </w:r>
    </w:p>
    <w:p>
      <w:pPr>
        <w:pStyle w:val="P34"/>
        <w:tabs>
          <w:tab w:val="left" w:pos="1418" w:leader="none"/>
          <w:tab w:val="clear" w:pos="1440" w:leader="none"/>
        </w:tabs>
        <w:ind w:hanging="709" w:left="1418"/>
      </w:pPr>
      <w:r>
        <w:t>Keep plants well watered to ensure vigorous, healthy growth.</w:t>
      </w:r>
    </w:p>
    <w:p>
      <w:pPr>
        <w:pStyle w:val="P18"/>
        <w:spacing w:before="240"/>
        <w:ind w:left="4320"/>
        <w:rPr>
          <w:rFonts w:ascii="Calibri" w:hAnsi="Calibri"/>
          <w:b w:val="1"/>
          <w:sz w:val="22"/>
        </w:rPr>
      </w:pPr>
      <w:r>
        <w:rPr>
          <w:rFonts w:ascii="Calibri" w:hAnsi="Calibri"/>
          <w:b w:val="1"/>
          <w:sz w:val="22"/>
        </w:rPr>
        <w:t>END OF SECTION</w:t>
      </w: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LANDSCAPE MAINTENANCE</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02936</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LANDSCAPE MAINTENANCE</w:t>
    </w:r>
    <w:r>
      <w:tab/>
      <w:t>2015-04-23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02936</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2015-04-23</w:t>
    </w:r>
    <w:r>
      <w:rPr>
        <w:b w:val="1"/>
      </w:rPr>
      <w:tab/>
      <w:t>LANDSCAPE MAINTENANCE</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2000)]</w:t>
    </w:r>
    <w:r>
      <w:t xml:space="preserve"> </w:t>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0A104A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528001E"/>
    <w:multiLevelType w:val="hybridMultilevel"/>
    <w:lvl w:ilvl="0" w:tplc="6AC403B7">
      <w:start w:val="1"/>
      <w:numFmt w:val="bullet"/>
      <w:suff w:val="tab"/>
      <w:lvlText w:val=""/>
      <w:lvlJc w:val="left"/>
      <w:pPr>
        <w:ind w:hanging="360" w:left="720"/>
        <w:tabs>
          <w:tab w:val="left" w:pos="720" w:leader="none"/>
        </w:tabs>
      </w:pPr>
      <w:rPr>
        <w:rFonts w:ascii="Symbol" w:hAnsi="Symbol"/>
      </w:rPr>
    </w:lvl>
    <w:lvl w:ilvl="1" w:tplc="7FF3F74C">
      <w:start w:val="1"/>
      <w:numFmt w:val="bullet"/>
      <w:suff w:val="tab"/>
      <w:lvlText w:val="o"/>
      <w:lvlJc w:val="left"/>
      <w:pPr>
        <w:ind w:hanging="360" w:left="1440"/>
        <w:tabs>
          <w:tab w:val="left" w:pos="1440" w:leader="none"/>
        </w:tabs>
      </w:pPr>
      <w:rPr>
        <w:rFonts w:ascii="Courier New" w:hAnsi="Courier New"/>
      </w:rPr>
    </w:lvl>
    <w:lvl w:ilvl="2" w:tplc="71BFC5E8">
      <w:start w:val="1"/>
      <w:numFmt w:val="bullet"/>
      <w:suff w:val="tab"/>
      <w:lvlText w:val=""/>
      <w:lvlJc w:val="left"/>
      <w:pPr>
        <w:ind w:hanging="360" w:left="2160"/>
        <w:tabs>
          <w:tab w:val="left" w:pos="2160" w:leader="none"/>
        </w:tabs>
      </w:pPr>
      <w:rPr>
        <w:rFonts w:ascii="Wingdings" w:hAnsi="Wingdings"/>
      </w:rPr>
    </w:lvl>
    <w:lvl w:ilvl="3" w:tplc="61B5C3FF">
      <w:start w:val="1"/>
      <w:numFmt w:val="bullet"/>
      <w:suff w:val="tab"/>
      <w:lvlText w:val=""/>
      <w:lvlJc w:val="left"/>
      <w:pPr>
        <w:ind w:hanging="360" w:left="2880"/>
        <w:tabs>
          <w:tab w:val="left" w:pos="2880" w:leader="none"/>
        </w:tabs>
      </w:pPr>
      <w:rPr>
        <w:rFonts w:ascii="Symbol" w:hAnsi="Symbol"/>
      </w:rPr>
    </w:lvl>
    <w:lvl w:ilvl="4" w:tplc="337E9847">
      <w:start w:val="1"/>
      <w:numFmt w:val="bullet"/>
      <w:suff w:val="tab"/>
      <w:lvlText w:val="o"/>
      <w:lvlJc w:val="left"/>
      <w:pPr>
        <w:ind w:hanging="360" w:left="3600"/>
        <w:tabs>
          <w:tab w:val="left" w:pos="3600" w:leader="none"/>
        </w:tabs>
      </w:pPr>
      <w:rPr>
        <w:rFonts w:ascii="Courier New" w:hAnsi="Courier New"/>
      </w:rPr>
    </w:lvl>
    <w:lvl w:ilvl="5" w:tplc="4B2EDC67">
      <w:start w:val="1"/>
      <w:numFmt w:val="bullet"/>
      <w:suff w:val="tab"/>
      <w:lvlText w:val=""/>
      <w:lvlJc w:val="left"/>
      <w:pPr>
        <w:ind w:hanging="360" w:left="4320"/>
        <w:tabs>
          <w:tab w:val="left" w:pos="4320" w:leader="none"/>
        </w:tabs>
      </w:pPr>
      <w:rPr>
        <w:rFonts w:ascii="Wingdings" w:hAnsi="Wingdings"/>
      </w:rPr>
    </w:lvl>
    <w:lvl w:ilvl="6" w:tplc="43C65C45">
      <w:start w:val="1"/>
      <w:numFmt w:val="bullet"/>
      <w:suff w:val="tab"/>
      <w:lvlText w:val=""/>
      <w:lvlJc w:val="left"/>
      <w:pPr>
        <w:ind w:hanging="360" w:left="5040"/>
        <w:tabs>
          <w:tab w:val="left" w:pos="5040" w:leader="none"/>
        </w:tabs>
      </w:pPr>
      <w:rPr>
        <w:rFonts w:ascii="Symbol" w:hAnsi="Symbol"/>
      </w:rPr>
    </w:lvl>
    <w:lvl w:ilvl="7" w:tplc="2564BE1C">
      <w:start w:val="1"/>
      <w:numFmt w:val="bullet"/>
      <w:suff w:val="tab"/>
      <w:lvlText w:val="o"/>
      <w:lvlJc w:val="left"/>
      <w:pPr>
        <w:ind w:hanging="360" w:left="5760"/>
        <w:tabs>
          <w:tab w:val="left" w:pos="5760" w:leader="none"/>
        </w:tabs>
      </w:pPr>
      <w:rPr>
        <w:rFonts w:ascii="Courier New" w:hAnsi="Courier New"/>
      </w:rPr>
    </w:lvl>
    <w:lvl w:ilvl="8" w:tplc="067EAED7">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20"/>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20"/>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20"/>
      </w:numPr>
      <w:contextualSpacing w:val="1"/>
      <w:outlineLvl w:val="2"/>
    </w:pPr>
    <w:rPr/>
  </w:style>
  <w:style w:type="paragraph" w:styleId="P35">
    <w:name w:val="Heading 4"/>
    <w:basedOn w:val="P22"/>
    <w:next w:val="P35"/>
    <w:link w:val="C10"/>
    <w:qFormat/>
    <w:pPr>
      <w:numPr>
        <w:ilvl w:val="3"/>
        <w:numId w:val="20"/>
      </w:numPr>
      <w:contextualSpacing w:val="1"/>
      <w:outlineLvl w:val="3"/>
    </w:pPr>
    <w:rPr/>
  </w:style>
  <w:style w:type="paragraph" w:styleId="P36">
    <w:name w:val="Heading 7"/>
    <w:basedOn w:val="P22"/>
    <w:next w:val="P0"/>
    <w:link w:val="C13"/>
    <w:qFormat/>
    <w:pPr>
      <w:numPr>
        <w:ilvl w:val="6"/>
        <w:numId w:val="20"/>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20"/>
      </w:numPr>
      <w:outlineLvl w:val="4"/>
    </w:pPr>
    <w:rPr/>
  </w:style>
  <w:style w:type="paragraph" w:styleId="P43">
    <w:name w:val="Heading 8"/>
    <w:basedOn w:val="P36"/>
    <w:next w:val="P0"/>
    <w:link w:val="C14"/>
    <w:qFormat/>
    <w:pPr>
      <w:numPr>
        <w:ilvl w:val="7"/>
        <w:numId w:val="20"/>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20"/>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2015-04-23T19:18:00Z</dcterms:created>
  <cp:lastModifiedBy>Ray</cp:lastModifiedBy>
  <cp:lastPrinted>2007-03-20T18:17:00Z</cp:lastPrinted>
  <dcterms:modified xsi:type="dcterms:W3CDTF">2022-10-04T19:38:51Z</dcterms:modified>
  <cp:revision>5</cp:revision>
  <dc:title>02936_Landscape_Maintenance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2015-04-23T00:00:00Z</vt:lpwstr>
  </property>
</Properties>
</file>