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1F27FD36" Type="http://schemas.openxmlformats.org/officeDocument/2006/relationships/officeDocument" Target="word/document.xml"/><Relationship Id="coreR1F27FD36" Type="http://schemas.openxmlformats.org/package/2006/relationships/metadata/core-properties" Target="docProps/core.xml"/><Relationship Id="customR1F27FD36"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pPr w:leftFromText="180" w:rightFromText="180" w:tblpX="1" w:tblpY="1" w:vertAnchor="text" w:tblpXSpec="center"/>
        <w:tblOverlap w:val="never"/>
        <w:tblW w:w="0" w:type="auto"/>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20"/>
              <w:framePr w:w="0" w:h="0" w:hRule="auto" w:vSpace="0" w:hSpace="0" w:wrap="auto" w:vAnchor="margin" w:hAnchor="text" w:x="0" w:xAlign="left" w:y="0" w:yAlign="inline"/>
              <w:rPr>
                <w:rFonts w:ascii="Calibri" w:hAnsi="Calibri"/>
                <w:sz w:val="22"/>
              </w:rPr>
            </w:pPr>
            <w:r>
              <w:rPr>
                <w:rFonts w:ascii="Calibri" w:hAnsi="Calibri"/>
                <w:sz w:val="22"/>
              </w:rPr>
              <w:t>Version</w:t>
            </w:r>
          </w:p>
        </w:tc>
        <w:tc>
          <w:tcPr>
            <w:tcW w:w="2164" w:type="dxa"/>
            <w:tcBorders>
              <w:top w:val="double" w:sz="6" w:space="0" w:shadow="0" w:frame="0"/>
              <w:left w:val="single" w:sz="6" w:space="0" w:shadow="0" w:frame="0"/>
              <w:bottom w:val="single" w:sz="6" w:space="0" w:shadow="0" w:frame="0"/>
              <w:right w:val="single" w:sz="6" w:space="0" w:shadow="0" w:frame="0"/>
            </w:tcBorders>
          </w:tcPr>
          <w:p>
            <w:pPr>
              <w:pStyle w:val="P20"/>
              <w:framePr w:w="0" w:h="0" w:hRule="auto" w:vSpace="0" w:hSpace="0" w:wrap="auto" w:vAnchor="margin" w:hAnchor="text" w:x="0" w:xAlign="left" w:y="0" w:yAlign="inline"/>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0"/>
              <w:framePr w:w="0" w:h="0" w:hRule="auto" w:vSpace="0" w:hSpace="0" w:wrap="auto" w:vAnchor="margin" w:hAnchor="text" w:x="0" w:xAlign="left" w:y="0" w:yAlign="inline"/>
              <w:rPr>
                <w:rFonts w:ascii="Calibri" w:hAnsi="Calibri"/>
                <w:sz w:val="22"/>
              </w:rPr>
            </w:pPr>
            <w:r>
              <w:rPr>
                <w:rFonts w:ascii="Calibri" w:hAnsi="Calibri"/>
                <w:sz w:val="22"/>
              </w:rPr>
              <w:t>Description of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1</w:t>
            </w:r>
          </w:p>
        </w:tc>
        <w:tc>
          <w:tcPr>
            <w:tcW w:w="2164" w:type="dxa"/>
            <w:tcBorders>
              <w:top w:val="single" w:sz="6" w:space="0" w:shadow="0" w:frame="0"/>
              <w:left w:val="single" w:sz="6" w:space="0" w:shadow="0" w:frame="0"/>
              <w:bottom w:val="single" w:sz="6" w:space="0" w:shadow="0" w:frame="0"/>
              <w:right w:val="sing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Approved final document.</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2</w:t>
            </w:r>
          </w:p>
        </w:tc>
        <w:tc>
          <w:tcPr>
            <w:tcW w:w="2164" w:type="dxa"/>
            <w:tcBorders>
              <w:top w:val="single" w:sz="6" w:space="0" w:shadow="0" w:frame="0"/>
              <w:left w:val="single" w:sz="6" w:space="0" w:shadow="0" w:frame="0"/>
              <w:bottom w:val="single" w:sz="6" w:space="0" w:shadow="0" w:frame="0"/>
              <w:right w:val="sing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October 16, 2007</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Minor revisions by Legal Services.</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3</w:t>
            </w:r>
          </w:p>
        </w:tc>
        <w:tc>
          <w:tcPr>
            <w:tcW w:w="2164" w:type="dxa"/>
            <w:tcBorders>
              <w:top w:val="single" w:sz="6" w:space="0" w:shadow="0" w:frame="0"/>
              <w:left w:val="single" w:sz="6" w:space="0" w:shadow="0" w:frame="0"/>
              <w:bottom w:val="single" w:sz="6" w:space="0" w:shadow="0" w:frame="0"/>
              <w:right w:val="sing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November 13,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 xml:space="preserve">Modified ‘Related Sections’ </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4</w:t>
            </w:r>
          </w:p>
        </w:tc>
        <w:tc>
          <w:tcPr>
            <w:tcW w:w="2164" w:type="dxa"/>
            <w:tcBorders>
              <w:top w:val="single" w:sz="6" w:space="0" w:shadow="0" w:frame="0"/>
              <w:left w:val="single" w:sz="6" w:space="0" w:shadow="0" w:frame="0"/>
              <w:bottom w:val="single" w:sz="6" w:space="0" w:shadow="0" w:frame="0"/>
              <w:right w:val="sing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March 14,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Minor changes.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5</w:t>
            </w:r>
          </w:p>
        </w:tc>
        <w:tc>
          <w:tcPr>
            <w:tcW w:w="2164" w:type="dxa"/>
            <w:tcBorders>
              <w:top w:val="single" w:sz="6" w:space="0" w:shadow="0" w:frame="0"/>
              <w:left w:val="single" w:sz="6" w:space="0" w:shadow="0" w:frame="0"/>
              <w:bottom w:val="single" w:sz="6" w:space="0" w:shadow="0" w:frame="0"/>
              <w:right w:val="sing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April 13,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Addition of References and Replacement Parts sections on this page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6</w:t>
            </w:r>
          </w:p>
        </w:tc>
        <w:tc>
          <w:tcPr>
            <w:tcW w:w="2164" w:type="dxa"/>
            <w:tcBorders>
              <w:top w:val="single" w:sz="6" w:space="0" w:shadow="0" w:frame="0"/>
              <w:left w:val="single" w:sz="6" w:space="0" w:shadow="0" w:frame="0"/>
              <w:bottom w:val="single" w:sz="6" w:space="0" w:shadow="0" w:frame="0"/>
              <w:right w:val="sing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June 28,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Reformatted to Remove White Space</w:t>
            </w:r>
          </w:p>
        </w:tc>
      </w:tr>
      <w:tr>
        <w:trPr>
          <w:wAfter w:w="0" w:type="dxa"/>
        </w:trPr>
        <w:tc>
          <w:tcPr>
            <w:tcW w:w="1004" w:type="dxa"/>
            <w:tcBorders>
              <w:top w:val="single" w:sz="6" w:space="0" w:shadow="0" w:frame="0"/>
              <w:left w:val="double" w:sz="6" w:space="0" w:shadow="0" w:frame="0"/>
              <w:bottom w:val="double" w:sz="6" w:space="0" w:shadow="0" w:frame="0"/>
              <w:right w:val="sing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7</w:t>
            </w:r>
          </w:p>
        </w:tc>
        <w:tc>
          <w:tcPr>
            <w:tcW w:w="2164" w:type="dxa"/>
            <w:tcBorders>
              <w:top w:val="single" w:sz="6" w:space="0" w:shadow="0" w:frame="0"/>
              <w:left w:val="single" w:sz="6" w:space="0" w:shadow="0" w:frame="0"/>
              <w:bottom w:val="double" w:sz="6" w:space="0" w:shadow="0" w:frame="0"/>
              <w:right w:val="sing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April 24, 2015</w:t>
            </w:r>
          </w:p>
        </w:tc>
        <w:tc>
          <w:tcPr>
            <w:tcW w:w="5863" w:type="dxa"/>
            <w:tcBorders>
              <w:top w:val="single" w:sz="6" w:space="0" w:shadow="0" w:frame="0"/>
              <w:left w:val="single" w:sz="6" w:space="0" w:shadow="0" w:frame="0"/>
              <w:bottom w:val="double" w:sz="6" w:space="0" w:shadow="0" w:frame="0"/>
              <w:right w:val="double" w:sz="6" w:space="0" w:shadow="0" w:frame="0"/>
            </w:tcBorders>
          </w:tcPr>
          <w:p>
            <w:pPr>
              <w:pStyle w:val="P19"/>
              <w:framePr w:w="0" w:h="0" w:hRule="auto" w:vSpace="0" w:hSpace="0" w:wrap="auto" w:vAnchor="margin" w:hAnchor="text" w:x="0" w:xAlign="left" w:y="0" w:yAlign="inline"/>
              <w:rPr>
                <w:rFonts w:ascii="Calibri" w:hAnsi="Calibri"/>
                <w:sz w:val="22"/>
              </w:rPr>
            </w:pPr>
            <w:r>
              <w:rPr>
                <w:rFonts w:ascii="Calibri" w:hAnsi="Calibri"/>
                <w:sz w:val="22"/>
              </w:rPr>
              <w:t>General formatting</w:t>
            </w:r>
          </w:p>
        </w:tc>
      </w:tr>
    </w:tbl>
    <w:p>
      <w:pPr>
        <w:pStyle w:val="P32"/>
        <w:numPr>
          <w:ilvl w:val="0"/>
          <w:numId w:val="0"/>
        </w:numPr>
        <w:tabs>
          <w:tab w:val="left" w:pos="1080" w:leader="none"/>
        </w:tabs>
      </w:pPr>
      <w:r>
        <w:br w:type="textWrapping"/>
      </w: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1"/>
        <w:rPr>
          <w:rFonts w:ascii="Calibri" w:hAnsi="Calibri"/>
        </w:rPr>
      </w:pPr>
    </w:p>
    <w:p>
      <w:pPr>
        <w:pStyle w:val="P1"/>
        <w:rPr>
          <w:rFonts w:ascii="Calibri" w:hAnsi="Calibri"/>
        </w:rPr>
      </w:pPr>
      <w:r>
        <w:rPr>
          <w:rFonts w:ascii="Calibri" w:hAnsi="Calibri"/>
        </w:rPr>
        <w:t>References</w:t>
      </w:r>
    </w:p>
    <w:p>
      <w:pPr>
        <w:pStyle w:val="P1"/>
        <w:rPr>
          <w:rFonts w:ascii="Calibri" w:hAnsi="Calibri"/>
        </w:rPr>
      </w:pPr>
      <w:r>
        <w:rPr>
          <w:rFonts w:ascii="Calibri" w:hAnsi="Calibri"/>
        </w:rPr>
        <w:t>•</w:t>
        <w:tab/>
        <w:t>None</w:t>
      </w:r>
    </w:p>
    <w:p>
      <w:pPr>
        <w:pStyle w:val="P1"/>
        <w:rPr>
          <w:rFonts w:ascii="Calibri" w:hAnsi="Calibri"/>
        </w:rPr>
      </w:pPr>
    </w:p>
    <w:p>
      <w:pPr>
        <w:pStyle w:val="P1"/>
        <w:rPr>
          <w:rFonts w:ascii="Calibri" w:hAnsi="Calibri"/>
        </w:rPr>
      </w:pPr>
      <w:r>
        <w:rPr>
          <w:rFonts w:ascii="Calibri" w:hAnsi="Calibri"/>
        </w:rPr>
        <w:t>Replacement Parts</w:t>
      </w:r>
    </w:p>
    <w:p>
      <w:pPr>
        <w:pStyle w:val="P1"/>
        <w:rPr>
          <w:rFonts w:ascii="Calibri" w:hAnsi="Calibri"/>
        </w:rPr>
      </w:pPr>
      <w:r>
        <w:rPr>
          <w:rFonts w:ascii="Calibri" w:hAnsi="Calibri"/>
        </w:rPr>
        <w:t>•</w:t>
        <w:tab/>
        <w:t>None</w:t>
      </w:r>
    </w:p>
    <w:p>
      <w:pPr>
        <w:pStyle w:val="P1"/>
        <w:rPr>
          <w:rFonts w:ascii="Calibri" w:hAnsi="Calibri"/>
        </w:rPr>
      </w:pPr>
    </w:p>
    <w:p>
      <w:pPr>
        <w:pStyle w:val="P32"/>
        <w:tabs>
          <w:tab w:val="left" w:pos="1080" w:leader="none"/>
        </w:tabs>
        <w:ind w:hanging="1080" w:left="1080"/>
      </w:pPr>
      <w:r>
        <w:br w:type="page"/>
        <w:t>GEneral</w:t>
      </w:r>
    </w:p>
    <w:p>
      <w:pPr>
        <w:pStyle w:val="P33"/>
      </w:pPr>
      <w:r>
        <w:t>Related Sections</w:t>
      </w:r>
    </w:p>
    <w:p>
      <w:pPr>
        <w:pStyle w:val="P34"/>
        <w:numPr>
          <w:ilvl w:val="2"/>
          <w:numId w:val="0"/>
        </w:numPr>
        <w:tabs>
          <w:tab w:val="left" w:pos="709" w:leader="none"/>
        </w:tabs>
        <w:ind w:left="709"/>
      </w:pPr>
      <w: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4"/>
        <w:numPr>
          <w:ilvl w:val="2"/>
          <w:numId w:val="0"/>
        </w:numPr>
        <w:tabs>
          <w:tab w:val="left" w:pos="709" w:leader="none"/>
        </w:tabs>
        <w:ind w:left="709"/>
      </w:pPr>
    </w:p>
    <w:p>
      <w:pPr>
        <w:pStyle w:val="P34"/>
        <w:numPr>
          <w:ilvl w:val="2"/>
          <w:numId w:val="0"/>
        </w:numPr>
        <w:tabs>
          <w:tab w:val="left" w:pos="709" w:leader="none"/>
        </w:tabs>
        <w:ind w:left="709"/>
      </w:pPr>
      <w:r>
        <w:t>Cross-referencing here may also be used to coordinate assemblies or systems whose components may span multiple Sections and which must meet certain performance requirements as an assembly or system.</w:t>
      </w:r>
    </w:p>
    <w:p>
      <w:pPr>
        <w:pStyle w:val="P34"/>
        <w:numPr>
          <w:ilvl w:val="2"/>
          <w:numId w:val="0"/>
        </w:numPr>
        <w:tabs>
          <w:tab w:val="left" w:pos="709" w:leader="none"/>
        </w:tabs>
        <w:ind w:left="709"/>
      </w:pPr>
    </w:p>
    <w:p>
      <w:pPr>
        <w:pStyle w:val="P34"/>
        <w:numPr>
          <w:ilvl w:val="2"/>
          <w:numId w:val="0"/>
        </w:numPr>
        <w:tabs>
          <w:tab w:val="left" w:pos="709" w:leader="none"/>
        </w:tabs>
        <w:ind w:left="709"/>
      </w:pPr>
      <w:r>
        <w:t>Contractor is responsible for coordination of the Work.</w:t>
      </w:r>
    </w:p>
    <w:p>
      <w:pPr>
        <w:pStyle w:val="P34"/>
        <w:numPr>
          <w:ilvl w:val="2"/>
          <w:numId w:val="0"/>
        </w:numPr>
        <w:tabs>
          <w:tab w:val="left" w:pos="709" w:leader="none"/>
        </w:tabs>
        <w:ind w:left="709"/>
      </w:pPr>
    </w:p>
    <w:p>
      <w:pPr>
        <w:pStyle w:val="P34"/>
        <w:numPr>
          <w:ilvl w:val="2"/>
          <w:numId w:val="0"/>
        </w:numPr>
        <w:tabs>
          <w:tab w:val="left" w:pos="709" w:leader="none"/>
        </w:tabs>
        <w:ind w:left="709"/>
      </w:pPr>
      <w:r>
        <w:t>This Section is to be completed/updated during the design development by the Consultant. If it is not applicable to the section for the specific project it may be deleted.]</w:t>
      </w:r>
    </w:p>
    <w:p>
      <w:pPr>
        <w:pStyle w:val="P34"/>
        <w:numPr>
          <w:ilvl w:val="2"/>
          <w:numId w:val="0"/>
        </w:numPr>
        <w:tabs>
          <w:tab w:val="left" w:pos="709" w:leader="none"/>
        </w:tabs>
        <w:ind w:left="709"/>
      </w:pPr>
    </w:p>
    <w:p>
      <w:pPr>
        <w:pStyle w:val="P34"/>
        <w:numPr>
          <w:ilvl w:val="2"/>
          <w:numId w:val="0"/>
        </w:numPr>
        <w:tabs>
          <w:tab w:val="left" w:pos="709" w:leader="none"/>
        </w:tabs>
        <w:ind w:left="709"/>
      </w:pPr>
      <w:r>
        <w:t>[List Sections specifying installation of products supplied but not installed under this Section and indicate specific items.]</w:t>
      </w:r>
    </w:p>
    <w:p>
      <w:pPr>
        <w:pStyle w:val="P34"/>
        <w:tabs>
          <w:tab w:val="left" w:pos="1418" w:leader="none"/>
          <w:tab w:val="clear" w:pos="1440" w:leader="none"/>
        </w:tabs>
        <w:ind w:hanging="709" w:left="1418"/>
      </w:pPr>
      <w:r>
        <w:t xml:space="preserve">Section [______ – ____________]:  Execution requirements for ...[item]...  specified under this Section.</w:t>
      </w:r>
    </w:p>
    <w:p>
      <w:pPr>
        <w:pStyle w:val="P34"/>
        <w:numPr>
          <w:ilvl w:val="2"/>
          <w:numId w:val="0"/>
        </w:numPr>
        <w:ind w:left="4320"/>
      </w:pPr>
    </w:p>
    <w:p>
      <w:pPr>
        <w:pStyle w:val="P34"/>
        <w:numPr>
          <w:ilvl w:val="2"/>
          <w:numId w:val="0"/>
        </w:numPr>
        <w:tabs>
          <w:tab w:val="left" w:pos="709" w:leader="none"/>
        </w:tabs>
        <w:ind w:left="709"/>
      </w:pPr>
      <w:r>
        <w:t>[List Sections specifying products installed but not supplied under this Section and indicate specific items.]</w:t>
      </w:r>
    </w:p>
    <w:p>
      <w:pPr>
        <w:pStyle w:val="P34"/>
        <w:tabs>
          <w:tab w:val="left" w:pos="1418" w:leader="none"/>
          <w:tab w:val="clear" w:pos="1440" w:leader="none"/>
        </w:tabs>
        <w:ind w:hanging="709" w:left="1418"/>
      </w:pPr>
      <w:r>
        <w:t xml:space="preserve">Section [______ – ____________]:  Product requirements for ...[item]...  for installation under this Section.</w:t>
      </w:r>
    </w:p>
    <w:p>
      <w:pPr>
        <w:pStyle w:val="P34"/>
        <w:numPr>
          <w:ilvl w:val="2"/>
          <w:numId w:val="0"/>
        </w:numPr>
        <w:ind w:left="4320"/>
      </w:pPr>
    </w:p>
    <w:p>
      <w:pPr>
        <w:pStyle w:val="P34"/>
        <w:numPr>
          <w:ilvl w:val="2"/>
          <w:numId w:val="0"/>
        </w:numPr>
        <w:tabs>
          <w:tab w:val="left" w:pos="709" w:leader="none"/>
        </w:tabs>
        <w:ind w:left="709"/>
      </w:pPr>
      <w:r>
        <w:t>[List Sections specifying related requirements.]</w:t>
      </w:r>
    </w:p>
    <w:p>
      <w:pPr>
        <w:pStyle w:val="P34"/>
        <w:tabs>
          <w:tab w:val="left" w:pos="1418" w:leader="none"/>
          <w:tab w:val="clear" w:pos="1440" w:leader="none"/>
        </w:tabs>
        <w:ind w:hanging="709" w:left="1418"/>
      </w:pPr>
      <w:r>
        <w:t xml:space="preserve">Section [______ – ____________]:  [Optional short phrase indicating relationship].</w:t>
      </w:r>
    </w:p>
    <w:p>
      <w:pPr>
        <w:pStyle w:val="P35"/>
        <w:numPr>
          <w:ilvl w:val="3"/>
          <w:numId w:val="0"/>
        </w:numPr>
        <w:ind w:left="4320"/>
      </w:pPr>
    </w:p>
    <w:p>
      <w:pPr>
        <w:pStyle w:val="P33"/>
      </w:pPr>
      <w:r>
        <w:t>Environmental Requirements</w:t>
      </w:r>
    </w:p>
    <w:p>
      <w:pPr>
        <w:pStyle w:val="P34"/>
        <w:tabs>
          <w:tab w:val="left" w:pos="1418" w:leader="none"/>
          <w:tab w:val="clear" w:pos="1440" w:leader="none"/>
        </w:tabs>
        <w:ind w:hanging="709" w:left="1418"/>
      </w:pPr>
      <w:r>
        <w:t>The operation of construction equipment within water bodies or watercourses is prohibited.</w:t>
      </w:r>
    </w:p>
    <w:p>
      <w:pPr>
        <w:pStyle w:val="P34"/>
        <w:tabs>
          <w:tab w:val="left" w:pos="1418" w:leader="none"/>
          <w:tab w:val="clear" w:pos="1440" w:leader="none"/>
        </w:tabs>
        <w:ind w:hanging="709" w:left="1418"/>
      </w:pPr>
      <w:r>
        <w:t>Borrow material from watercourse beds may only be used when approved by the Consultant.</w:t>
      </w:r>
    </w:p>
    <w:p>
      <w:pPr>
        <w:pStyle w:val="P34"/>
        <w:tabs>
          <w:tab w:val="left" w:pos="1418" w:leader="none"/>
          <w:tab w:val="clear" w:pos="1440" w:leader="none"/>
        </w:tabs>
        <w:ind w:hanging="709" w:left="1418"/>
      </w:pPr>
      <w:r>
        <w:t>Design and construct temporary crossings to minimize environmental impact to watercourses.</w:t>
      </w:r>
    </w:p>
    <w:p>
      <w:pPr>
        <w:pStyle w:val="P34"/>
        <w:tabs>
          <w:tab w:val="left" w:pos="1418" w:leader="none"/>
          <w:tab w:val="clear" w:pos="1440" w:leader="none"/>
        </w:tabs>
        <w:ind w:hanging="709" w:left="1418"/>
      </w:pPr>
      <w:r>
        <w:t>Constructing temporary crossings of watercourses when spawning beds are indicated is prohibited.</w:t>
      </w:r>
    </w:p>
    <w:p>
      <w:pPr>
        <w:pStyle w:val="P34"/>
        <w:tabs>
          <w:tab w:val="left" w:pos="1418" w:leader="none"/>
          <w:tab w:val="clear" w:pos="1440" w:leader="none"/>
        </w:tabs>
        <w:ind w:hanging="709" w:left="1418"/>
      </w:pPr>
      <w:r>
        <w:t>Dumping excavated fill, waste material, or debris in any watercourse is prohibited.</w:t>
      </w:r>
    </w:p>
    <w:p>
      <w:pPr>
        <w:pStyle w:val="P33"/>
      </w:pPr>
      <w:r>
        <w:t>Measurement and Payment</w:t>
      </w:r>
    </w:p>
    <w:p>
      <w:pPr>
        <w:pStyle w:val="P34"/>
        <w:tabs>
          <w:tab w:val="left" w:pos="1418" w:leader="none"/>
          <w:tab w:val="clear" w:pos="1440" w:leader="none"/>
        </w:tabs>
        <w:ind w:hanging="709" w:left="1418"/>
      </w:pPr>
      <w:r>
        <w:rPr>
          <w:highlight w:val="yellow"/>
        </w:rPr>
        <w:t>[The Work outlined in this Section will be measured and paid for at the unit price as indicated in the Bid Form]</w:t>
      </w:r>
      <w:r>
        <w:br w:type="textWrapping"/>
        <w:t>or</w:t>
        <w:br w:type="textWrapping"/>
      </w:r>
      <w:r>
        <w:rPr>
          <w:highlight w:val="yellow"/>
        </w:rPr>
        <w:t>[The Work outlined in this Section is included in the Contract Price.]</w:t>
      </w:r>
      <w:r>
        <w:br w:type="textWrapping"/>
        <w:t>or</w:t>
        <w:br w:type="textWrapping"/>
        <w:t>[</w:t>
      </w:r>
      <w:r>
        <w:rPr>
          <w:highlight w:val="yellow"/>
        </w:rPr>
        <w:t>The Work outlined in this Section will be measured and paid for at the unit price for Work under Section ………].</w:t>
      </w:r>
      <w:r>
        <w:br w:type="textWrapping"/>
        <w:br w:type="textWrapping"/>
        <w:t>[</w:t>
      </w:r>
      <w:r>
        <w:rPr>
          <w:highlight w:val="yellow"/>
        </w:rPr>
        <w:t>Select appropriate method for each project].</w:t>
      </w:r>
    </w:p>
    <w:p>
      <w:pPr>
        <w:pStyle w:val="P32"/>
      </w:pPr>
      <w:r>
        <w:t>PRODUCTS</w:t>
      </w:r>
    </w:p>
    <w:p>
      <w:pPr>
        <w:pStyle w:val="P33"/>
      </w:pPr>
      <w:r>
        <w:t>Preparation</w:t>
      </w:r>
    </w:p>
    <w:p>
      <w:pPr>
        <w:pStyle w:val="P34"/>
        <w:tabs>
          <w:tab w:val="left" w:pos="1418" w:leader="none"/>
          <w:tab w:val="clear" w:pos="1440" w:leader="none"/>
        </w:tabs>
        <w:ind w:hanging="709" w:left="1418"/>
      </w:pPr>
      <w:r>
        <w:t>Obtain work permits issued by the applicable governing Federal, Provincial and/or Municipal Conservation authorities and maintain them on Site.</w:t>
      </w:r>
    </w:p>
    <w:p>
      <w:pPr>
        <w:pStyle w:val="P32"/>
      </w:pPr>
      <w:r>
        <w:t>EXECUTION</w:t>
      </w:r>
    </w:p>
    <w:p>
      <w:pPr>
        <w:pStyle w:val="P33"/>
      </w:pPr>
      <w:r>
        <w:t>Existing Conditions</w:t>
      </w:r>
    </w:p>
    <w:p>
      <w:pPr>
        <w:pStyle w:val="P34"/>
        <w:tabs>
          <w:tab w:val="left" w:pos="1418" w:leader="none"/>
          <w:tab w:val="clear" w:pos="1440" w:leader="none"/>
        </w:tabs>
        <w:ind w:hanging="709" w:left="1418"/>
      </w:pPr>
      <w:r>
        <w:t>Maintain the existing flow pattern in natural watercourse systems.</w:t>
      </w:r>
    </w:p>
    <w:p>
      <w:pPr>
        <w:pStyle w:val="P34"/>
        <w:tabs>
          <w:tab w:val="left" w:pos="1418" w:leader="none"/>
          <w:tab w:val="clear" w:pos="1440" w:leader="none"/>
        </w:tabs>
        <w:ind w:hanging="709" w:left="1418"/>
      </w:pPr>
      <w:r>
        <w:t>Maintain the existing riffle/pool and step/pool patterns in natural systems.</w:t>
      </w:r>
    </w:p>
    <w:p>
      <w:pPr>
        <w:pStyle w:val="P33"/>
        <w:ind w:hanging="578" w:left="578"/>
      </w:pPr>
      <w:r>
        <w:t>Site Clearing and Plant Protection</w:t>
      </w:r>
    </w:p>
    <w:p>
      <w:pPr>
        <w:pStyle w:val="P34"/>
        <w:tabs>
          <w:tab w:val="left" w:pos="1418" w:leader="none"/>
          <w:tab w:val="clear" w:pos="1440" w:leader="none"/>
        </w:tabs>
        <w:ind w:hanging="709" w:left="1418"/>
      </w:pPr>
      <w:r>
        <w:t>Conduct the Work in a way which provide minimum disturbance to vegetated buffer zones. Protect trees and plants on the Site and adjacent properties where indicated in the Contract Documents.</w:t>
      </w:r>
    </w:p>
    <w:p>
      <w:pPr>
        <w:pStyle w:val="P34"/>
        <w:tabs>
          <w:tab w:val="left" w:pos="1418" w:leader="none"/>
          <w:tab w:val="clear" w:pos="1440" w:leader="none"/>
        </w:tabs>
        <w:ind w:hanging="709" w:left="1418"/>
      </w:pPr>
      <w:r>
        <w:t>Wrap in burlap, any trees and shrubs adjacent to construction work, storage areas and trucking lanes.</w:t>
      </w:r>
    </w:p>
    <w:p>
      <w:pPr>
        <w:pStyle w:val="P34"/>
        <w:tabs>
          <w:tab w:val="left" w:pos="1418" w:leader="none"/>
          <w:tab w:val="clear" w:pos="1440" w:leader="none"/>
        </w:tabs>
        <w:ind w:hanging="709" w:left="1418"/>
      </w:pPr>
      <w:r>
        <w:t xml:space="preserve">Protect the roots of designated trees to the dripline during excavation and Site grading in order to prevent disturbance or damage.  Avoid unnecessary traffic, dumping and storage of materials over the root zones of trees.</w:t>
      </w:r>
    </w:p>
    <w:p>
      <w:pPr>
        <w:pStyle w:val="P34"/>
        <w:tabs>
          <w:tab w:val="left" w:pos="1418" w:leader="none"/>
          <w:tab w:val="clear" w:pos="1440" w:leader="none"/>
        </w:tabs>
        <w:ind w:hanging="709" w:left="1418"/>
      </w:pPr>
      <w:r>
        <w:t>Leave cuttings from trees and other vegetation on Site as brush piles to allow for natural degradation. Secure large piles with degradable materials in order to prevent interference with watercourses.</w:t>
      </w:r>
    </w:p>
    <w:p>
      <w:pPr>
        <w:pStyle w:val="P34"/>
        <w:tabs>
          <w:tab w:val="left" w:pos="1418" w:leader="none"/>
          <w:tab w:val="clear" w:pos="1440" w:leader="none"/>
        </w:tabs>
        <w:ind w:hanging="709" w:left="1418"/>
      </w:pPr>
      <w:r>
        <w:t>Remove only those trees that may offer future blockage problems as instructed by the Consultant.</w:t>
      </w:r>
    </w:p>
    <w:p>
      <w:pPr>
        <w:pStyle w:val="P34"/>
        <w:tabs>
          <w:tab w:val="left" w:pos="1418" w:leader="none"/>
          <w:tab w:val="clear" w:pos="1440" w:leader="none"/>
        </w:tabs>
        <w:ind w:hanging="709" w:left="1418"/>
      </w:pPr>
      <w:r>
        <w:t>Leave root masses and stumps in place.</w:t>
      </w:r>
    </w:p>
    <w:p>
      <w:pPr>
        <w:pStyle w:val="P34"/>
        <w:tabs>
          <w:tab w:val="left" w:pos="1418" w:leader="none"/>
          <w:tab w:val="clear" w:pos="1440" w:leader="none"/>
        </w:tabs>
        <w:ind w:hanging="709" w:left="1418"/>
      </w:pPr>
      <w:r>
        <w:t>Maintain temporary erosion and pollution control features installed under this Contract.</w:t>
      </w:r>
    </w:p>
    <w:p>
      <w:pPr>
        <w:pStyle w:val="P33"/>
      </w:pPr>
      <w:r>
        <w:t>Drainage</w:t>
      </w:r>
    </w:p>
    <w:p>
      <w:pPr>
        <w:pStyle w:val="P34"/>
        <w:tabs>
          <w:tab w:val="left" w:pos="1418" w:leader="none"/>
          <w:tab w:val="clear" w:pos="1440" w:leader="none"/>
        </w:tabs>
        <w:ind w:hanging="709" w:left="1418"/>
      </w:pPr>
      <w:r>
        <w:t>Pumping water containing suspended materials into a watercourse is prohibited.</w:t>
      </w:r>
    </w:p>
    <w:p>
      <w:pPr>
        <w:pStyle w:val="P34"/>
        <w:tabs>
          <w:tab w:val="left" w:pos="1418" w:leader="none"/>
          <w:tab w:val="clear" w:pos="1440" w:leader="none"/>
        </w:tabs>
        <w:ind w:hanging="709" w:left="1418"/>
      </w:pPr>
      <w:r>
        <w:t>Establish rock chute spillways to accommodate safe surface water entry to a watercourse to the satisfaction of the Consultant.</w:t>
      </w:r>
    </w:p>
    <w:p>
      <w:pPr>
        <w:pStyle w:val="P34"/>
        <w:tabs>
          <w:tab w:val="left" w:pos="1418" w:leader="none"/>
          <w:tab w:val="clear" w:pos="1440" w:leader="none"/>
        </w:tabs>
        <w:ind w:hanging="709" w:left="1418"/>
      </w:pPr>
      <w:r>
        <w:t>Install a drop pipe inlet system to the satisfaction of the Consultant.</w:t>
      </w:r>
    </w:p>
    <w:p>
      <w:pPr>
        <w:pStyle w:val="P33"/>
      </w:pPr>
      <w:r>
        <w:t>Site Restoration</w:t>
      </w:r>
    </w:p>
    <w:p>
      <w:pPr>
        <w:pStyle w:val="P34"/>
        <w:tabs>
          <w:tab w:val="left" w:pos="1418" w:leader="none"/>
          <w:tab w:val="clear" w:pos="1440" w:leader="none"/>
        </w:tabs>
        <w:ind w:hanging="709" w:left="1418"/>
      </w:pPr>
      <w:r>
        <w:t>Establish vegetated buffer zones with suitable vegetation to a minimum of 3 m along the edge of watercourse banks to the satisfaction of the Consultant.</w:t>
      </w:r>
    </w:p>
    <w:p>
      <w:pPr>
        <w:pStyle w:val="P34"/>
        <w:tabs>
          <w:tab w:val="left" w:pos="1418" w:leader="none"/>
          <w:tab w:val="clear" w:pos="1440" w:leader="none"/>
        </w:tabs>
        <w:ind w:hanging="709" w:left="1418"/>
      </w:pPr>
      <w:r>
        <w:t>Plant vegetation natural to the area, suitable for application without the requirement for fertilizers, pesticides and other chemicals.</w:t>
      </w:r>
    </w:p>
    <w:p>
      <w:pPr>
        <w:pStyle w:val="P34"/>
        <w:tabs>
          <w:tab w:val="left" w:pos="1418" w:leader="none"/>
          <w:tab w:val="clear" w:pos="1440" w:leader="none"/>
        </w:tabs>
        <w:ind w:hanging="709" w:left="1418"/>
      </w:pPr>
      <w:r>
        <w:t>Control streambank erosion in lower sections of the watercourse with irregular shaped rip-rap underlain with non toxic filter cloth of a size specified by the Consultant.</w:t>
      </w:r>
    </w:p>
    <w:p>
      <w:pPr>
        <w:pStyle w:val="P34"/>
        <w:tabs>
          <w:tab w:val="left" w:pos="1418" w:leader="none"/>
          <w:tab w:val="clear" w:pos="1440" w:leader="none"/>
        </w:tabs>
        <w:ind w:hanging="709" w:left="1418"/>
      </w:pPr>
      <w:r>
        <w:t xml:space="preserve">Control streambank erosion in upper sections of the watercourse by planting suitable vegetation as shown on the Contract Drawings or as directed by the Consultant.  Planting is to occur within 5 Days after the Work within the watercourse is complete.</w:t>
      </w:r>
    </w:p>
    <w:p>
      <w:pPr>
        <w:pStyle w:val="P18"/>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Mar w:left="720" w:right="720" w:top="1440" w:bottom="1440"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p>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p>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02389</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PRESERVATION OF WATER COURSES</w:t>
    </w:r>
    <w:r>
      <w:rPr>
        <w:rFonts w:ascii="Arial" w:hAnsi="Arial"/>
      </w:rPr>
      <w:tab/>
      <w:t>2012-06-28</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7"/>
      <w:spacing w:after="240"/>
    </w:pPr>
  </w:p>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rPr>
        <w:rFonts w:ascii="Calibri (Body)" w:hAnsi="Calibri (Body)"/>
        <w:sz w:val="22"/>
      </w:rPr>
      <w:t>CONTRACT NO. SSTR4559</w:t>
      <w:tab/>
      <w:t>Section 02389</w:t>
    </w:r>
  </w:p>
  <w:p>
    <w:pPr>
      <w:pBdr>
        <w:top w:val="single" w:sz="4" w:space="0" w:shadow="0" w:frame="0"/>
      </w:pBdr>
      <w:tabs>
        <w:tab w:val="left" w:pos="-1440" w:leader="none"/>
        <w:tab w:val="left" w:pos="-720" w:leader="none"/>
        <w:tab w:val="left" w:pos="0" w:leader="none"/>
        <w:tab w:val="center" w:pos="5220" w:leader="none"/>
        <w:tab w:val="right" w:pos="10350" w:leader="none"/>
      </w:tabs>
    </w:pPr>
    <w:r>
      <w:rPr>
        <w:rFonts w:ascii="Calibri (Body)" w:hAnsi="Calibri (Body)"/>
        <w:b w:val="1"/>
        <w:sz w:val="22"/>
      </w:rPr>
      <w:tab/>
      <w:t>PRESERVATION OF WATER COURSES</w:t>
    </w:r>
    <w:r>
      <w:rPr>
        <w:rFonts w:ascii="Calibri (Body)" w:hAnsi="Calibri (Body)"/>
        <w:sz w:val="22"/>
      </w:rPr>
      <w:tab/>
      <w:t>2015-04-24</w:t>
    </w:r>
  </w:p>
  <w:p>
    <w:pPr>
      <w:pBdr>
        <w:top w:val="single" w:sz="4" w:space="0" w:shadow="0" w:frame="0"/>
      </w:pBdr>
      <w:tabs>
        <w:tab w:val="center" w:pos="5175" w:leader="none"/>
        <w:tab w:val="right" w:pos="1035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7"/>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620" w:leader="none"/>
      </w:tabs>
    </w:pPr>
    <w:r>
      <w:rPr>
        <w:rFonts w:ascii="Calibri (Body)" w:hAnsi="Calibri (Body)"/>
        <w:sz w:val="22"/>
      </w:rPr>
      <w:t>Section 02389</w:t>
      <w:tab/>
      <w:t>CONTRACT NO. SSTR4559</w:t>
      <w:tab/>
    </w:r>
  </w:p>
  <w:p>
    <w:pPr>
      <w:pBdr>
        <w:top w:val="single" w:sz="4" w:space="0" w:shadow="0" w:frame="0"/>
      </w:pBdr>
      <w:tabs>
        <w:tab w:val="left" w:pos="-1440" w:leader="none"/>
        <w:tab w:val="left" w:pos="-720" w:leader="none"/>
        <w:tab w:val="left" w:pos="0" w:leader="none"/>
        <w:tab w:val="center" w:pos="5220" w:leader="none"/>
        <w:tab w:val="right" w:pos="10620" w:leader="none"/>
      </w:tabs>
    </w:pPr>
    <w:r>
      <w:rPr>
        <w:rFonts w:ascii="Calibri (Body)" w:hAnsi="Calibri (Body)"/>
        <w:sz w:val="22"/>
      </w:rPr>
      <w:t>2015-04-24</w:t>
    </w:r>
    <w:r>
      <w:rPr>
        <w:rFonts w:ascii="Calibri (Body)" w:hAnsi="Calibri (Body)"/>
        <w:b w:val="1"/>
        <w:sz w:val="22"/>
      </w:rPr>
      <w:tab/>
      <w:t>PRESERVATION OF WATER COURSES</w:t>
    </w:r>
    <w:r>
      <w:rPr>
        <w:rFonts w:ascii="Calibri (Body)" w:hAnsi="Calibri (Body)"/>
        <w:b w:val="1"/>
        <w:sz w:val="22"/>
      </w:rPr>
      <w:t xml:space="preserve"> </w:t>
    </w:r>
    <w:r>
      <w:rPr>
        <w:rFonts w:ascii="Calibri (Body)" w:hAnsi="Calibri (Body)"/>
        <w:sz w:val="22"/>
      </w:rPr>
      <w:tab/>
    </w:r>
  </w:p>
  <w:p>
    <w:pPr>
      <w:pStyle w:val="P7"/>
      <w:tabs>
        <w:tab w:val="right" w:pos="10620" w:leader="none"/>
      </w:tabs>
      <w:jc w:val="left"/>
      <w:rPr>
        <w:rFonts w:ascii="Calibri" w:hAnsi="Calibri"/>
        <w:caps w:val="1"/>
        <w:sz w:val="22"/>
      </w:rPr>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hdr>
</file>

<file path=word/numbering.xml><?xml version="1.0" encoding="utf-8"?>
<w:numbering xmlns:w="http://schemas.openxmlformats.org/wordprocessingml/2006/main">
  <w:abstractNum w:abstractNumId="0">
    <w:nsid w:val="FFFFFF89"/>
    <w:multiLevelType w:val="hybridMultilevel"/>
    <w:lvl w:ilvl="0" w:tplc="5D62BD65">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7">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7"/>
  </w:num>
  <w:num w:numId="4">
    <w:abstractNumId w:val="3"/>
  </w:num>
  <w:num w:numId="5">
    <w:abstractNumId w:val="8"/>
  </w:num>
  <w:num w:numId="6">
    <w:abstractNumId w:val="2"/>
  </w:num>
  <w:num w:numId="7">
    <w:abstractNumId w:val="5"/>
  </w:num>
  <w:num w:numId="8">
    <w:abstractNumId w:val="1"/>
  </w:num>
  <w:num w:numId="9">
    <w:abstractNumId w:val="9"/>
  </w:num>
  <w:num w:numId="10">
    <w:abstractNumId w:val="4"/>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rFonts w:ascii="Book Antiqua" w:hAnsi="Book Antiqua"/>
      <w:sz w:val="22"/>
    </w:rPr>
  </w:style>
  <w:style w:type="paragraph" w:styleId="P2">
    <w:name w:val="Comment Text"/>
    <w:basedOn w:val="P0"/>
    <w:next w:val="P2"/>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7"/>
    <w:qFormat/>
    <w:pPr>
      <w:keepNext w:val="1"/>
      <w:spacing w:before="160" w:after="30"/>
    </w:pPr>
    <w:rPr>
      <w:rFonts w:ascii="Arial Narrow" w:hAnsi="Arial Narrow"/>
      <w:b w:val="1"/>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Normal Table Text"/>
    <w:basedOn w:val="P0"/>
    <w:next w:val="P19"/>
    <w:pPr>
      <w:widowControl w:val="0"/>
      <w:spacing w:before="60" w:after="60"/>
    </w:pPr>
    <w:rPr>
      <w:rFonts w:ascii="Arial" w:hAnsi="Arial"/>
      <w:sz w:val="20"/>
    </w:rPr>
  </w:style>
  <w:style w:type="paragraph" w:styleId="P20">
    <w:name w:val="Table Heading"/>
    <w:basedOn w:val="P0"/>
    <w:next w:val="P20"/>
    <w:pPr>
      <w:widowControl w:val="0"/>
      <w:spacing w:before="60" w:after="60"/>
    </w:pPr>
    <w:rPr>
      <w:rFonts w:ascii="Arial" w:hAnsi="Arial"/>
      <w:b w:val="1"/>
      <w:sz w:val="20"/>
    </w:rPr>
  </w:style>
  <w:style w:type="paragraph" w:styleId="P21">
    <w:name w:val="Balloon Text"/>
    <w:basedOn w:val="P0"/>
    <w:next w:val="P21"/>
    <w:pPr/>
    <w:rPr>
      <w:rFonts w:ascii="Tahoma" w:hAnsi="Tahoma"/>
      <w:sz w:val="16"/>
    </w:rPr>
  </w:style>
  <w:style w:type="paragraph" w:styleId="P22">
    <w:name w:val="List Paragraph"/>
    <w:basedOn w:val="P0"/>
    <w:next w:val="P22"/>
    <w:qFormat/>
    <w:pPr>
      <w:ind w:left="720"/>
      <w:contextualSpacing w:val="1"/>
    </w:pPr>
    <w:rPr/>
  </w:style>
  <w:style w:type="paragraph" w:styleId="P23">
    <w:name w:val="Bullet"/>
    <w:basedOn w:val="P1"/>
    <w:next w:val="P1"/>
    <w:pPr/>
    <w:rPr/>
  </w:style>
  <w:style w:type="paragraph" w:styleId="P24">
    <w:name w:val="CSA"/>
    <w:basedOn w:val="P1"/>
    <w:next w:val="P32"/>
    <w:pPr>
      <w:keepNext w:val="1"/>
      <w:spacing w:after="0"/>
    </w:pPr>
    <w:rPr>
      <w:b w:val="1"/>
      <w:caps w:val="1"/>
      <w:sz w:val="20"/>
    </w:rPr>
  </w:style>
  <w:style w:type="paragraph" w:styleId="P25">
    <w:name w:val="Footnote Text"/>
    <w:basedOn w:val="P1"/>
    <w:next w:val="P25"/>
    <w:pPr>
      <w:spacing w:after="0"/>
    </w:pPr>
    <w:rPr>
      <w:rFonts w:ascii="Arial" w:hAnsi="Arial"/>
      <w:sz w:val="16"/>
    </w:rPr>
  </w:style>
  <w:style w:type="paragraph" w:styleId="P26">
    <w:name w:val="Number"/>
    <w:basedOn w:val="P1"/>
    <w:next w:val="P1"/>
    <w:pPr>
      <w:spacing w:after="0"/>
      <w:ind w:hanging="360" w:left="360"/>
    </w:pPr>
    <w:rPr/>
  </w:style>
  <w:style w:type="paragraph" w:styleId="P27">
    <w:name w:val="Tick"/>
    <w:basedOn w:val="P1"/>
    <w:next w:val="P1"/>
    <w:pPr>
      <w:spacing w:after="0"/>
      <w:ind w:hanging="360" w:left="720"/>
    </w:pPr>
    <w:rPr/>
  </w:style>
  <w:style w:type="paragraph" w:styleId="P28">
    <w:name w:val="TOC 1"/>
    <w:basedOn w:val="P1"/>
    <w:next w:val="P38"/>
    <w:pPr>
      <w:tabs>
        <w:tab w:val="right" w:pos="8640" w:leader="dot"/>
      </w:tabs>
      <w:spacing w:after="0"/>
    </w:pPr>
    <w:rPr>
      <w:b w:val="1"/>
    </w:rPr>
  </w:style>
  <w:style w:type="paragraph" w:styleId="P29">
    <w:name w:val="Caption"/>
    <w:basedOn w:val="P4"/>
    <w:next w:val="P0"/>
    <w:pPr>
      <w:keepNext w:val="1"/>
      <w:spacing w:after="240"/>
    </w:pPr>
    <w:rPr>
      <w:b w:val="0"/>
      <w:i w:val="1"/>
      <w:sz w:val="20"/>
    </w:rPr>
  </w:style>
  <w:style w:type="paragraph" w:styleId="P30">
    <w:name w:val="Exhibit--Number"/>
    <w:basedOn w:val="P4"/>
    <w:next w:val="P39"/>
    <w:pPr>
      <w:spacing w:before="160"/>
    </w:pPr>
    <w:rPr>
      <w:caps w:val="1"/>
      <w:sz w:val="18"/>
    </w:rPr>
  </w:style>
  <w:style w:type="paragraph" w:styleId="P31">
    <w:name w:val="Table Body"/>
    <w:basedOn w:val="P9"/>
    <w:next w:val="P31"/>
    <w:pPr>
      <w:jc w:val="left"/>
    </w:pPr>
    <w:rPr>
      <w:b w:val="0"/>
    </w:rPr>
  </w:style>
  <w:style w:type="paragraph" w:styleId="P32">
    <w:name w:val="Heading 1"/>
    <w:basedOn w:val="P22"/>
    <w:next w:val="P32"/>
    <w:link w:val="C9"/>
    <w:qFormat/>
    <w:pPr>
      <w:numPr>
        <w:numId w:val="19"/>
      </w:numPr>
      <w:spacing w:before="160"/>
      <w:contextualSpacing w:val="1"/>
      <w:outlineLvl w:val="0"/>
    </w:pPr>
    <w:rPr>
      <w:rFonts w:ascii="Calibri" w:hAnsi="Calibri"/>
      <w:caps w:val="1"/>
    </w:rPr>
  </w:style>
  <w:style w:type="paragraph" w:styleId="P33">
    <w:name w:val="Heading 2"/>
    <w:basedOn w:val="P22"/>
    <w:next w:val="P0"/>
    <w:link w:val="C10"/>
    <w:qFormat/>
    <w:pPr>
      <w:numPr>
        <w:ilvl w:val="1"/>
        <w:numId w:val="19"/>
      </w:numPr>
      <w:spacing w:before="80"/>
      <w:contextualSpacing w:val="1"/>
      <w:outlineLvl w:val="1"/>
    </w:pPr>
    <w:rPr>
      <w:rFonts w:ascii="Calibri" w:hAnsi="Calibri"/>
      <w:u w:val="single"/>
    </w:rPr>
  </w:style>
  <w:style w:type="paragraph" w:styleId="P34">
    <w:name w:val="Heading 3"/>
    <w:basedOn w:val="P22"/>
    <w:next w:val="P34"/>
    <w:link w:val="C7"/>
    <w:qFormat/>
    <w:pPr>
      <w:numPr>
        <w:ilvl w:val="2"/>
        <w:numId w:val="19"/>
      </w:numPr>
      <w:contextualSpacing w:val="1"/>
      <w:outlineLvl w:val="2"/>
    </w:pPr>
    <w:rPr/>
  </w:style>
  <w:style w:type="paragraph" w:styleId="P35">
    <w:name w:val="Heading 4"/>
    <w:basedOn w:val="P22"/>
    <w:next w:val="P35"/>
    <w:link w:val="C11"/>
    <w:qFormat/>
    <w:pPr>
      <w:numPr>
        <w:ilvl w:val="3"/>
        <w:numId w:val="19"/>
      </w:numPr>
      <w:contextualSpacing w:val="1"/>
      <w:outlineLvl w:val="3"/>
    </w:pPr>
    <w:rPr/>
  </w:style>
  <w:style w:type="paragraph" w:styleId="P36">
    <w:name w:val="Heading 7"/>
    <w:basedOn w:val="P22"/>
    <w:next w:val="P0"/>
    <w:link w:val="C14"/>
    <w:qFormat/>
    <w:pPr>
      <w:numPr>
        <w:ilvl w:val="6"/>
        <w:numId w:val="19"/>
      </w:numPr>
      <w:contextualSpacing w:val="1"/>
      <w:outlineLvl w:val="6"/>
    </w:pPr>
    <w:rPr/>
  </w:style>
  <w:style w:type="paragraph" w:styleId="P37">
    <w:name w:val="List Bullet"/>
    <w:basedOn w:val="P23"/>
    <w:next w:val="P37"/>
    <w:pPr>
      <w:numPr>
        <w:numId w:val="2"/>
      </w:numPr>
    </w:pPr>
    <w:rPr/>
  </w:style>
  <w:style w:type="paragraph" w:styleId="P38">
    <w:name w:val="TOC 2"/>
    <w:basedOn w:val="P28"/>
    <w:next w:val="P44"/>
    <w:pPr>
      <w:tabs>
        <w:tab w:val="left" w:pos="1008" w:leader="none"/>
      </w:tabs>
      <w:ind w:left="720"/>
    </w:pPr>
    <w:rPr>
      <w:b w:val="0"/>
    </w:rPr>
  </w:style>
  <w:style w:type="paragraph" w:styleId="P39">
    <w:name w:val="Exhibit--Title"/>
    <w:basedOn w:val="P30"/>
    <w:next w:val="P45"/>
    <w:pPr>
      <w:spacing w:before="0"/>
    </w:pPr>
    <w:rPr>
      <w:b w:val="1"/>
      <w:caps w:val="0"/>
      <w:sz w:val="20"/>
    </w:rPr>
  </w:style>
  <w:style w:type="paragraph" w:styleId="P40">
    <w:name w:val="Table Notes"/>
    <w:basedOn w:val="P31"/>
    <w:next w:val="P40"/>
    <w:pPr>
      <w:spacing w:after="320"/>
    </w:pPr>
    <w:rPr/>
  </w:style>
  <w:style w:type="paragraph" w:styleId="P41">
    <w:name w:val="Contents"/>
    <w:basedOn w:val="P32"/>
    <w:next w:val="P1"/>
    <w:pPr/>
    <w:rPr/>
  </w:style>
  <w:style w:type="paragraph" w:styleId="P42">
    <w:name w:val="Heading 5"/>
    <w:basedOn w:val="P35"/>
    <w:next w:val="P42"/>
    <w:link w:val="C12"/>
    <w:qFormat/>
    <w:pPr>
      <w:numPr>
        <w:ilvl w:val="4"/>
        <w:numId w:val="19"/>
      </w:numPr>
      <w:outlineLvl w:val="4"/>
    </w:pPr>
    <w:rPr/>
  </w:style>
  <w:style w:type="paragraph" w:styleId="P43">
    <w:name w:val="Heading 8"/>
    <w:basedOn w:val="P36"/>
    <w:next w:val="P0"/>
    <w:link w:val="C15"/>
    <w:qFormat/>
    <w:pPr>
      <w:numPr>
        <w:ilvl w:val="7"/>
        <w:numId w:val="19"/>
      </w:numPr>
      <w:outlineLvl w:val="7"/>
    </w:pPr>
    <w:rPr/>
  </w:style>
  <w:style w:type="paragraph" w:styleId="P44">
    <w:name w:val="TOC 3"/>
    <w:basedOn w:val="P38"/>
    <w:next w:val="P44"/>
    <w:pPr>
      <w:tabs>
        <w:tab w:val="clear" w:pos="1008" w:leader="none"/>
        <w:tab w:val="left" w:pos="1728" w:leader="none"/>
      </w:tabs>
      <w:ind w:left="1440"/>
    </w:pPr>
    <w:rPr/>
  </w:style>
  <w:style w:type="paragraph" w:styleId="P45">
    <w:name w:val="Exhibit--Caption"/>
    <w:basedOn w:val="P39"/>
    <w:next w:val="P1"/>
    <w:pPr/>
    <w:rPr>
      <w:i w:val="1"/>
    </w:rPr>
  </w:style>
  <w:style w:type="paragraph" w:styleId="P46">
    <w:name w:val="Heading 6"/>
    <w:basedOn w:val="P42"/>
    <w:next w:val="P0"/>
    <w:link w:val="C13"/>
    <w:qFormat/>
    <w:pPr>
      <w:numPr>
        <w:ilvl w:val="5"/>
        <w:numId w:val="19"/>
      </w:numPr>
      <w:outlineLvl w:val="5"/>
    </w:pPr>
    <w:rPr/>
  </w:style>
  <w:style w:type="paragraph" w:styleId="P47">
    <w:name w:val="Heading 9"/>
    <w:basedOn w:val="P43"/>
    <w:next w:val="P0"/>
    <w:link w:val="C16"/>
    <w:qFormat/>
    <w:pPr>
      <w:numPr>
        <w:ilvl w:val="8"/>
      </w:numPr>
      <w:tabs>
        <w:tab w:val="clear" w:pos="360" w:leader="none"/>
        <w:tab w:val="left" w:pos="5760" w:leader="none"/>
      </w:tabs>
      <w:outlineLvl w:val="8"/>
    </w:pPr>
    <w:rPr/>
  </w:style>
  <w:style w:type="paragraph" w:styleId="P48">
    <w:name w:val="TOC 4"/>
    <w:basedOn w:val="P44"/>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rPr>
      <w:rFonts w:ascii="Arial Narrow" w:hAnsi="Arial Narrow"/>
      <w:b w:val="1"/>
      <w:sz w:val="22"/>
    </w:rPr>
  </w:style>
  <w:style w:type="character" w:styleId="C7">
    <w:name w:val="Heading 3 Char"/>
    <w:link w:val="P34"/>
    <w:rPr/>
  </w:style>
  <w:style w:type="character" w:styleId="C8">
    <w:name w:val="Heading 3 Char1"/>
    <w:rPr>
      <w:rFonts w:ascii="Arial" w:hAnsi="Arial"/>
    </w:rPr>
  </w:style>
  <w:style w:type="character" w:styleId="C9">
    <w:name w:val="Heading 1 Char"/>
    <w:link w:val="P32"/>
    <w:rPr>
      <w:rFonts w:ascii="Calibri" w:hAnsi="Calibri"/>
      <w:caps w:val="1"/>
    </w:rPr>
  </w:style>
  <w:style w:type="character" w:styleId="C10">
    <w:name w:val="Heading 2 Char"/>
    <w:link w:val="P33"/>
    <w:rPr>
      <w:rFonts w:ascii="Calibri" w:hAnsi="Calibri"/>
      <w:u w:val="single"/>
    </w:rPr>
  </w:style>
  <w:style w:type="character" w:styleId="C11">
    <w:name w:val="Heading 4 Char"/>
    <w:link w:val="P35"/>
    <w:rPr/>
  </w:style>
  <w:style w:type="character" w:styleId="C12">
    <w:name w:val="Heading 5 Char"/>
    <w:link w:val="P42"/>
    <w:rPr/>
  </w:style>
  <w:style w:type="character" w:styleId="C13">
    <w:name w:val="Heading 6 Char"/>
    <w:link w:val="P46"/>
    <w:rPr/>
  </w:style>
  <w:style w:type="character" w:styleId="C14">
    <w:name w:val="Heading 7 Char"/>
    <w:link w:val="P36"/>
    <w:rPr/>
  </w:style>
  <w:style w:type="character" w:styleId="C15">
    <w:name w:val="Heading 8 Char"/>
    <w:link w:val="P43"/>
    <w:rPr/>
  </w:style>
  <w:style w:type="character" w:styleId="C16">
    <w:name w:val="Heading 9 Char"/>
    <w:link w:val="P47"/>
    <w:rPr/>
  </w:style>
  <w:style w:type="character" w:styleId="C17">
    <w:name w:val="Title Char"/>
    <w:link w:val="P10"/>
    <w:rPr>
      <w:rFonts w:ascii="Arial Narrow" w:hAnsi="Arial Narrow"/>
      <w:b w:val="1"/>
    </w:rPr>
  </w:style>
  <w:style w:type="character" w:styleId="C18">
    <w:name w:val="Strong"/>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Ftr1" Type="http://schemas.openxmlformats.org/officeDocument/2006/relationships/footer" Target="footer1.xml"/><Relationship Id="RelFtr2" Type="http://schemas.openxmlformats.org/officeDocument/2006/relationships/footer" Target="footer2.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2011-03-14T20:06:00Z</dcterms:created>
  <cp:lastModifiedBy>Ray</cp:lastModifiedBy>
  <cp:lastPrinted>2006-11-01T20:42:00Z</cp:lastPrinted>
  <dcterms:modified xsi:type="dcterms:W3CDTF">2022-10-04T19:38:51Z</dcterms:modified>
  <cp:revision>9</cp:revision>
  <dc:title>02389_Preservation_of_Water_Courses (Apr 24,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2015-04-24T00:00:00Z</vt:lpwstr>
  </property>
</Properties>
</file>