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42A5FEA6" Type="http://schemas.openxmlformats.org/officeDocument/2006/relationships/officeDocument" Target="/word/document.xml" /><Relationship Id="coreR42A5FEA6" Type="http://schemas.openxmlformats.org/package/2006/relationships/metadata/core-properties" Target="/docProps/core.xml" /><Relationship Id="customR42A5FEA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rPr>
          <w:wAfter w:w="0" w:type="dxa"/>
        </w:trPr>
        <w:tc>
          <w:tcPr>
            <w:tcW w:w="1004" w:type="dxa"/>
          </w:tcPr>
          <w:p>
            <w:pPr>
              <w:pStyle w:val="P21"/>
              <w:jc w:val="center"/>
              <w:rPr>
                <w:rFonts w:ascii="Calibri" w:hAnsi="Calibri"/>
                <w:sz w:val="22"/>
              </w:rPr>
            </w:pPr>
            <w:r>
              <w:rPr>
                <w:rFonts w:ascii="Calibri" w:hAnsi="Calibri"/>
                <w:sz w:val="22"/>
              </w:rPr>
              <w:t>Version</w:t>
            </w:r>
          </w:p>
        </w:tc>
        <w:tc>
          <w:tcPr>
            <w:tcW w:w="1980" w:type="dxa"/>
          </w:tcPr>
          <w:p>
            <w:pPr>
              <w:pStyle w:val="P21"/>
              <w:jc w:val="center"/>
              <w:rPr>
                <w:rFonts w:ascii="Calibri" w:hAnsi="Calibri"/>
                <w:sz w:val="22"/>
              </w:rPr>
            </w:pPr>
            <w:r>
              <w:rPr>
                <w:rFonts w:ascii="Calibri" w:hAnsi="Calibri"/>
                <w:sz w:val="22"/>
              </w:rPr>
              <w:t>Date</w:t>
            </w:r>
          </w:p>
        </w:tc>
        <w:tc>
          <w:tcPr>
            <w:tcW w:w="5863" w:type="dxa"/>
          </w:tcPr>
          <w:p>
            <w:pPr>
              <w:pStyle w:val="P21"/>
              <w:jc w:val="center"/>
              <w:rPr>
                <w:rFonts w:ascii="Calibri" w:hAnsi="Calibri"/>
                <w:sz w:val="22"/>
              </w:rPr>
            </w:pPr>
            <w:r>
              <w:rPr>
                <w:rFonts w:ascii="Calibri" w:hAnsi="Calibri"/>
                <w:sz w:val="22"/>
              </w:rPr>
              <w:t>Description of Revisions</w:t>
            </w:r>
          </w:p>
        </w:tc>
      </w:tr>
      <w:tr>
        <w:trPr>
          <w:wAfter w:w="0" w:type="dxa"/>
        </w:trPr>
        <w:tc>
          <w:tcPr>
            <w:tcW w:w="1004" w:type="dxa"/>
          </w:tcPr>
          <w:p>
            <w:pPr>
              <w:pStyle w:val="P20"/>
              <w:jc w:val="center"/>
              <w:rPr>
                <w:rFonts w:ascii="Calibri" w:hAnsi="Calibri"/>
                <w:sz w:val="22"/>
              </w:rPr>
            </w:pPr>
            <w:r>
              <w:rPr>
                <w:rFonts w:ascii="Calibri" w:hAnsi="Calibri"/>
                <w:sz w:val="22"/>
              </w:rPr>
              <w:t>1</w:t>
            </w:r>
          </w:p>
        </w:tc>
        <w:tc>
          <w:tcPr>
            <w:tcW w:w="1980" w:type="dxa"/>
          </w:tcPr>
          <w:p>
            <w:pPr>
              <w:pStyle w:val="P20"/>
              <w:rPr>
                <w:rFonts w:ascii="Calibri" w:hAnsi="Calibri"/>
                <w:sz w:val="22"/>
              </w:rPr>
            </w:pPr>
            <w:r>
              <w:rPr>
                <w:rFonts w:ascii="Calibri" w:hAnsi="Calibri"/>
                <w:sz w:val="22"/>
              </w:rPr>
              <w:t>August 30, 2006</w:t>
            </w:r>
          </w:p>
        </w:tc>
        <w:tc>
          <w:tcPr>
            <w:tcW w:w="5863" w:type="dxa"/>
          </w:tcPr>
          <w:p>
            <w:pPr>
              <w:pStyle w:val="P20"/>
              <w:rPr>
                <w:rFonts w:ascii="Calibri" w:hAnsi="Calibri"/>
                <w:sz w:val="22"/>
              </w:rPr>
            </w:pPr>
            <w:r>
              <w:rPr>
                <w:rFonts w:ascii="Calibri" w:hAnsi="Calibri"/>
                <w:sz w:val="22"/>
              </w:rPr>
              <w:t>Approved final document.</w:t>
            </w:r>
          </w:p>
        </w:tc>
      </w:tr>
      <w:tr>
        <w:trPr>
          <w:wAfter w:w="0" w:type="dxa"/>
        </w:trPr>
        <w:tc>
          <w:tcPr>
            <w:tcW w:w="1004" w:type="dxa"/>
          </w:tcPr>
          <w:p>
            <w:pPr>
              <w:pStyle w:val="P20"/>
              <w:jc w:val="center"/>
              <w:rPr>
                <w:rFonts w:ascii="Calibri" w:hAnsi="Calibri"/>
                <w:sz w:val="22"/>
              </w:rPr>
            </w:pPr>
            <w:r>
              <w:rPr>
                <w:rFonts w:ascii="Calibri" w:hAnsi="Calibri"/>
                <w:sz w:val="22"/>
              </w:rPr>
              <w:t>2</w:t>
            </w:r>
          </w:p>
        </w:tc>
        <w:tc>
          <w:tcPr>
            <w:tcW w:w="1980" w:type="dxa"/>
          </w:tcPr>
          <w:p>
            <w:pPr>
              <w:pStyle w:val="P20"/>
              <w:rPr>
                <w:rFonts w:ascii="Calibri" w:hAnsi="Calibri"/>
                <w:sz w:val="22"/>
              </w:rPr>
            </w:pPr>
            <w:r>
              <w:rPr>
                <w:rFonts w:ascii="Calibri" w:hAnsi="Calibri"/>
                <w:sz w:val="22"/>
              </w:rPr>
              <w:t>November 5, 2007</w:t>
            </w:r>
          </w:p>
        </w:tc>
        <w:tc>
          <w:tcPr>
            <w:tcW w:w="5863" w:type="dxa"/>
          </w:tcPr>
          <w:p>
            <w:pPr>
              <w:pStyle w:val="P20"/>
              <w:rPr>
                <w:rFonts w:ascii="Calibri" w:hAnsi="Calibri"/>
                <w:sz w:val="22"/>
              </w:rPr>
            </w:pPr>
            <w:r>
              <w:rPr>
                <w:rFonts w:ascii="Calibri" w:hAnsi="Calibri"/>
                <w:sz w:val="22"/>
              </w:rPr>
              <w:t>Minor revisions by Legal Services.</w:t>
            </w:r>
          </w:p>
        </w:tc>
      </w:tr>
      <w:tr>
        <w:trPr>
          <w:wAfter w:w="0" w:type="dxa"/>
          <w:trHeight w:hRule="atLeast" w:val="65"/>
        </w:trPr>
        <w:tc>
          <w:tcPr>
            <w:tcW w:w="1004" w:type="dxa"/>
          </w:tcPr>
          <w:p>
            <w:pPr>
              <w:pStyle w:val="P20"/>
              <w:jc w:val="center"/>
              <w:rPr>
                <w:rFonts w:ascii="Calibri" w:hAnsi="Calibri"/>
                <w:sz w:val="22"/>
              </w:rPr>
            </w:pPr>
            <w:r>
              <w:rPr>
                <w:rFonts w:ascii="Calibri" w:hAnsi="Calibri"/>
                <w:sz w:val="22"/>
              </w:rPr>
              <w:t>3</w:t>
            </w:r>
          </w:p>
        </w:tc>
        <w:tc>
          <w:tcPr>
            <w:tcW w:w="1980" w:type="dxa"/>
          </w:tcPr>
          <w:p>
            <w:pPr>
              <w:pStyle w:val="P20"/>
              <w:rPr>
                <w:rFonts w:ascii="Calibri" w:hAnsi="Calibri"/>
                <w:sz w:val="22"/>
              </w:rPr>
            </w:pPr>
            <w:r>
              <w:rPr>
                <w:rFonts w:ascii="Calibri" w:hAnsi="Calibri"/>
                <w:sz w:val="22"/>
              </w:rPr>
              <w:t>November 13, 2009</w:t>
            </w:r>
          </w:p>
        </w:tc>
        <w:tc>
          <w:tcPr>
            <w:tcW w:w="5863" w:type="dxa"/>
          </w:tcPr>
          <w:p>
            <w:pPr>
              <w:pStyle w:val="P20"/>
              <w:rPr>
                <w:rFonts w:ascii="Calibri" w:hAnsi="Calibri"/>
                <w:sz w:val="22"/>
              </w:rPr>
            </w:pPr>
            <w:r>
              <w:rPr>
                <w:rFonts w:ascii="Calibri" w:hAnsi="Calibri"/>
                <w:sz w:val="22"/>
              </w:rPr>
              <w:t>Modified ‘Related Section’</w:t>
            </w:r>
          </w:p>
        </w:tc>
      </w:tr>
      <w:tr>
        <w:trPr>
          <w:wAfter w:w="0" w:type="dxa"/>
        </w:trPr>
        <w:tc>
          <w:tcPr>
            <w:tcW w:w="1004" w:type="dxa"/>
          </w:tcPr>
          <w:p>
            <w:pPr>
              <w:pStyle w:val="P20"/>
              <w:jc w:val="center"/>
              <w:rPr>
                <w:rFonts w:ascii="Calibri" w:hAnsi="Calibri"/>
                <w:sz w:val="22"/>
              </w:rPr>
            </w:pPr>
            <w:r>
              <w:rPr>
                <w:rFonts w:ascii="Calibri" w:hAnsi="Calibri"/>
                <w:sz w:val="22"/>
              </w:rPr>
              <w:t>4</w:t>
            </w:r>
          </w:p>
        </w:tc>
        <w:tc>
          <w:tcPr>
            <w:tcW w:w="1980" w:type="dxa"/>
          </w:tcPr>
          <w:p>
            <w:pPr>
              <w:pStyle w:val="P20"/>
              <w:rPr>
                <w:rFonts w:ascii="Calibri" w:hAnsi="Calibri"/>
                <w:sz w:val="22"/>
              </w:rPr>
            </w:pPr>
            <w:r>
              <w:rPr>
                <w:rFonts w:ascii="Calibri" w:hAnsi="Calibri"/>
                <w:sz w:val="22"/>
              </w:rPr>
              <w:t>March 15, 2011</w:t>
            </w:r>
          </w:p>
        </w:tc>
        <w:tc>
          <w:tcPr>
            <w:tcW w:w="5863" w:type="dxa"/>
          </w:tcPr>
          <w:p>
            <w:pPr>
              <w:pStyle w:val="P20"/>
              <w:rPr>
                <w:rFonts w:ascii="Calibri" w:hAnsi="Calibri"/>
                <w:sz w:val="22"/>
              </w:rPr>
            </w:pPr>
            <w:r>
              <w:rPr>
                <w:rFonts w:ascii="Calibri" w:hAnsi="Calibri"/>
                <w:sz w:val="22"/>
              </w:rPr>
              <w:t>Minor changes from Legal</w:t>
            </w:r>
          </w:p>
        </w:tc>
      </w:tr>
      <w:tr>
        <w:trPr>
          <w:wAfter w:w="0" w:type="dxa"/>
        </w:trPr>
        <w:tc>
          <w:tcPr>
            <w:tcW w:w="1004" w:type="dxa"/>
          </w:tcPr>
          <w:p>
            <w:pPr>
              <w:pStyle w:val="P20"/>
              <w:jc w:val="center"/>
              <w:rPr>
                <w:rFonts w:ascii="Calibri" w:hAnsi="Calibri"/>
                <w:sz w:val="22"/>
              </w:rPr>
            </w:pPr>
            <w:r>
              <w:rPr>
                <w:rFonts w:ascii="Calibri" w:hAnsi="Calibri"/>
                <w:sz w:val="22"/>
              </w:rPr>
              <w:t>5</w:t>
            </w:r>
          </w:p>
        </w:tc>
        <w:tc>
          <w:tcPr>
            <w:tcW w:w="1980" w:type="dxa"/>
          </w:tcPr>
          <w:p>
            <w:pPr>
              <w:pStyle w:val="P20"/>
              <w:rPr>
                <w:rFonts w:ascii="Calibri" w:hAnsi="Calibri"/>
                <w:sz w:val="22"/>
              </w:rPr>
            </w:pPr>
            <w:r>
              <w:rPr>
                <w:rFonts w:ascii="Calibri" w:hAnsi="Calibri"/>
                <w:sz w:val="22"/>
              </w:rPr>
              <w:t>June 5, 2012</w:t>
            </w:r>
          </w:p>
        </w:tc>
        <w:tc>
          <w:tcPr>
            <w:tcW w:w="5863" w:type="dxa"/>
          </w:tcPr>
          <w:p>
            <w:pPr>
              <w:pStyle w:val="P20"/>
              <w:rPr>
                <w:rFonts w:ascii="Calibri" w:hAnsi="Calibri"/>
                <w:sz w:val="22"/>
              </w:rPr>
            </w:pPr>
            <w:r>
              <w:rPr>
                <w:rFonts w:ascii="Calibri" w:hAnsi="Calibri"/>
                <w:sz w:val="22"/>
              </w:rPr>
              <w:t>Added References and Replacement Parts Section</w:t>
            </w:r>
          </w:p>
        </w:tc>
      </w:tr>
      <w:tr>
        <w:trPr>
          <w:wAfter w:w="0" w:type="dxa"/>
        </w:trPr>
        <w:tc>
          <w:tcPr>
            <w:tcW w:w="1004" w:type="dxa"/>
          </w:tcPr>
          <w:p>
            <w:pPr>
              <w:pStyle w:val="P20"/>
              <w:jc w:val="center"/>
              <w:rPr>
                <w:rFonts w:ascii="Calibri" w:hAnsi="Calibri"/>
                <w:sz w:val="22"/>
              </w:rPr>
            </w:pPr>
            <w:r>
              <w:rPr>
                <w:rFonts w:ascii="Calibri" w:hAnsi="Calibri"/>
                <w:sz w:val="22"/>
              </w:rPr>
              <w:t>6</w:t>
            </w:r>
          </w:p>
        </w:tc>
        <w:tc>
          <w:tcPr>
            <w:tcW w:w="1980" w:type="dxa"/>
          </w:tcPr>
          <w:p>
            <w:pPr>
              <w:pStyle w:val="P20"/>
              <w:rPr>
                <w:rFonts w:ascii="Calibri" w:hAnsi="Calibri"/>
                <w:sz w:val="22"/>
              </w:rPr>
            </w:pPr>
            <w:r>
              <w:rPr>
                <w:rFonts w:ascii="Calibri" w:hAnsi="Calibri"/>
                <w:sz w:val="22"/>
              </w:rPr>
              <w:t>June 29, 2012</w:t>
            </w:r>
          </w:p>
        </w:tc>
        <w:tc>
          <w:tcPr>
            <w:tcW w:w="5863" w:type="dxa"/>
          </w:tcPr>
          <w:p>
            <w:pPr>
              <w:pStyle w:val="P20"/>
              <w:rPr>
                <w:rFonts w:ascii="Calibri" w:hAnsi="Calibri"/>
                <w:sz w:val="22"/>
              </w:rPr>
            </w:pPr>
            <w:r>
              <w:rPr>
                <w:rFonts w:ascii="Calibri" w:hAnsi="Calibri"/>
                <w:sz w:val="22"/>
              </w:rPr>
              <w:t>Reformatted to Remove White Space</w:t>
            </w:r>
          </w:p>
        </w:tc>
      </w:tr>
      <w:tr>
        <w:trPr>
          <w:wAfter w:w="0" w:type="dxa"/>
        </w:trPr>
        <w:tc>
          <w:tcPr>
            <w:tcW w:w="1004" w:type="dxa"/>
          </w:tcPr>
          <w:p>
            <w:pPr>
              <w:pStyle w:val="P20"/>
              <w:jc w:val="center"/>
              <w:rPr>
                <w:rFonts w:ascii="Calibri" w:hAnsi="Calibri"/>
                <w:sz w:val="22"/>
              </w:rPr>
            </w:pPr>
            <w:r>
              <w:rPr>
                <w:rFonts w:ascii="Calibri" w:hAnsi="Calibri"/>
                <w:sz w:val="22"/>
              </w:rPr>
              <w:t>7</w:t>
            </w:r>
          </w:p>
        </w:tc>
        <w:tc>
          <w:tcPr>
            <w:tcW w:w="1980" w:type="dxa"/>
          </w:tcPr>
          <w:p>
            <w:pPr>
              <w:pStyle w:val="P20"/>
              <w:rPr>
                <w:rFonts w:ascii="Calibri" w:hAnsi="Calibri"/>
                <w:sz w:val="22"/>
              </w:rPr>
            </w:pPr>
            <w:r>
              <w:rPr>
                <w:rFonts w:ascii="Calibri" w:hAnsi="Calibri"/>
                <w:sz w:val="22"/>
              </w:rPr>
              <w:t>April 24, 2015</w:t>
            </w:r>
          </w:p>
        </w:tc>
        <w:tc>
          <w:tcPr>
            <w:tcW w:w="5863" w:type="dxa"/>
          </w:tcPr>
          <w:p>
            <w:pPr>
              <w:pStyle w:val="P20"/>
              <w:rPr>
                <w:rFonts w:ascii="Calibri" w:hAnsi="Calibri"/>
                <w:sz w:val="22"/>
              </w:rPr>
            </w:pPr>
            <w:r>
              <w:rPr>
                <w:rFonts w:ascii="Calibri" w:hAnsi="Calibri"/>
                <w:sz w:val="22"/>
              </w:rPr>
              <w:t>General formatting</w:t>
            </w:r>
          </w:p>
        </w:tc>
      </w:tr>
      <w:tr>
        <w:trPr>
          <w:wAfter w:w="0" w:type="dxa"/>
        </w:trPr>
        <w:tc>
          <w:tcPr>
            <w:tcW w:w="1004" w:type="dxa"/>
          </w:tcPr>
          <w:p>
            <w:pPr>
              <w:pStyle w:val="P20"/>
              <w:jc w:val="center"/>
              <w:rPr>
                <w:rFonts w:ascii="Calibri" w:hAnsi="Calibri"/>
                <w:sz w:val="22"/>
              </w:rPr>
            </w:pPr>
            <w:r>
              <w:rPr>
                <w:rFonts w:ascii="Calibri" w:hAnsi="Calibri"/>
                <w:sz w:val="22"/>
              </w:rPr>
              <w:t>8</w:t>
            </w:r>
          </w:p>
        </w:tc>
        <w:tc>
          <w:tcPr>
            <w:tcW w:w="1980" w:type="dxa"/>
          </w:tcPr>
          <w:p>
            <w:pPr>
              <w:pStyle w:val="P20"/>
              <w:rPr>
                <w:rFonts w:ascii="Calibri" w:hAnsi="Calibri"/>
                <w:sz w:val="22"/>
              </w:rPr>
            </w:pPr>
            <w:r>
              <w:rPr>
                <w:rFonts w:ascii="Calibri" w:hAnsi="Calibri"/>
                <w:sz w:val="22"/>
              </w:rPr>
              <w:t>August 17, 2015</w:t>
            </w:r>
          </w:p>
        </w:tc>
        <w:tc>
          <w:tcPr>
            <w:tcW w:w="5863" w:type="dxa"/>
          </w:tcPr>
          <w:p>
            <w:pPr>
              <w:pStyle w:val="P20"/>
              <w:rPr>
                <w:rFonts w:ascii="Calibri" w:hAnsi="Calibri"/>
                <w:sz w:val="22"/>
              </w:rPr>
            </w:pPr>
            <w:r>
              <w:rPr>
                <w:rFonts w:ascii="Calibri" w:hAnsi="Calibri"/>
                <w:sz w:val="22"/>
              </w:rPr>
              <w:t>First draft review of updated spec. (AV)</w:t>
            </w:r>
          </w:p>
        </w:tc>
      </w:tr>
      <w:tr>
        <w:trPr>
          <w:wAfter w:w="0" w:type="dxa"/>
        </w:trPr>
        <w:tc>
          <w:tcPr>
            <w:tcW w:w="1004" w:type="dxa"/>
            <w:vAlign w:val="center"/>
          </w:tcPr>
          <w:p>
            <w:pPr>
              <w:pStyle w:val="P20"/>
              <w:jc w:val="center"/>
              <w:rPr>
                <w:rFonts w:ascii="Calibri" w:hAnsi="Calibri"/>
                <w:sz w:val="22"/>
              </w:rPr>
            </w:pPr>
            <w:r>
              <w:rPr>
                <w:rFonts w:ascii="Calibri" w:hAnsi="Calibri"/>
                <w:sz w:val="22"/>
              </w:rPr>
              <w:t>9</w:t>
            </w:r>
          </w:p>
        </w:tc>
        <w:tc>
          <w:tcPr>
            <w:tcW w:w="1980" w:type="dxa"/>
            <w:vAlign w:val="center"/>
          </w:tcPr>
          <w:p>
            <w:pPr>
              <w:pStyle w:val="P20"/>
              <w:rPr>
                <w:rFonts w:ascii="Calibri" w:hAnsi="Calibri"/>
                <w:sz w:val="22"/>
              </w:rPr>
            </w:pPr>
            <w:r>
              <w:rPr>
                <w:rFonts w:ascii="Calibri" w:hAnsi="Calibri"/>
                <w:sz w:val="22"/>
              </w:rPr>
              <w:t>September 16, 2015</w:t>
            </w:r>
          </w:p>
        </w:tc>
        <w:tc>
          <w:tcPr>
            <w:tcW w:w="5863" w:type="dxa"/>
            <w:vAlign w:val="center"/>
          </w:tcPr>
          <w:p>
            <w:pPr>
              <w:pStyle w:val="P20"/>
              <w:rPr>
                <w:rFonts w:ascii="Calibri" w:hAnsi="Calibri"/>
                <w:sz w:val="22"/>
              </w:rPr>
            </w:pPr>
            <w:r>
              <w:rPr>
                <w:rFonts w:ascii="Calibri" w:hAnsi="Calibri"/>
                <w:sz w:val="22"/>
              </w:rPr>
              <w:t>Updated, Finalized Specification – Reference eDOCS #6263147-v3 (AV)</w:t>
            </w:r>
          </w:p>
        </w:tc>
      </w:tr>
      <w:tr>
        <w:trPr>
          <w:wAfter w:w="0" w:type="dxa"/>
        </w:trPr>
        <w:tc>
          <w:tcPr>
            <w:tcW w:w="1004" w:type="dxa"/>
            <w:vAlign w:val="center"/>
          </w:tcPr>
          <w:p>
            <w:pPr>
              <w:pStyle w:val="P20"/>
              <w:jc w:val="center"/>
              <w:rPr>
                <w:rFonts w:ascii="Calibri" w:hAnsi="Calibri"/>
                <w:sz w:val="22"/>
              </w:rPr>
            </w:pPr>
            <w:r>
              <w:rPr>
                <w:rFonts w:ascii="Calibri" w:hAnsi="Calibri"/>
                <w:sz w:val="22"/>
              </w:rPr>
              <w:t>10</w:t>
            </w:r>
          </w:p>
        </w:tc>
        <w:tc>
          <w:tcPr>
            <w:tcW w:w="1980" w:type="dxa"/>
            <w:vAlign w:val="center"/>
          </w:tcPr>
          <w:p>
            <w:pPr>
              <w:pStyle w:val="P20"/>
              <w:rPr>
                <w:rFonts w:ascii="Calibri" w:hAnsi="Calibri"/>
                <w:sz w:val="22"/>
              </w:rPr>
            </w:pPr>
            <w:r>
              <w:rPr>
                <w:rFonts w:ascii="Calibri" w:hAnsi="Calibri"/>
                <w:sz w:val="22"/>
              </w:rPr>
              <w:t>April 26, 2018</w:t>
            </w:r>
          </w:p>
        </w:tc>
        <w:tc>
          <w:tcPr>
            <w:tcW w:w="5863" w:type="dxa"/>
            <w:vAlign w:val="center"/>
          </w:tcPr>
          <w:p>
            <w:pPr>
              <w:pStyle w:val="P20"/>
              <w:spacing w:before="0" w:after="0"/>
              <w:rPr>
                <w:rFonts w:ascii="Calibri" w:hAnsi="Calibri"/>
                <w:sz w:val="22"/>
              </w:rPr>
            </w:pPr>
            <w:r>
              <w:rPr>
                <w:rFonts w:ascii="Calibri" w:hAnsi="Calibri"/>
                <w:sz w:val="22"/>
              </w:rPr>
              <w:t>2.1.10 Removed manufacturers and products, added performance specification</w:t>
            </w:r>
          </w:p>
          <w:p>
            <w:pPr>
              <w:pStyle w:val="P20"/>
              <w:spacing w:before="0" w:after="0"/>
              <w:rPr>
                <w:rFonts w:ascii="Calibri" w:hAnsi="Calibri"/>
                <w:sz w:val="22"/>
              </w:rPr>
            </w:pPr>
            <w:r>
              <w:rPr>
                <w:rFonts w:ascii="Calibri" w:hAnsi="Calibri"/>
                <w:sz w:val="22"/>
              </w:rPr>
              <w:t xml:space="preserve">2.1.11 Removed manufacturers and products, added performance specification </w:t>
            </w:r>
          </w:p>
          <w:p>
            <w:pPr>
              <w:pStyle w:val="P20"/>
              <w:spacing w:before="0" w:after="0"/>
              <w:rPr>
                <w:rFonts w:ascii="Calibri" w:hAnsi="Calibri"/>
                <w:sz w:val="22"/>
              </w:rPr>
            </w:pPr>
            <w:r>
              <w:rPr>
                <w:rFonts w:ascii="Calibri" w:hAnsi="Calibri"/>
                <w:sz w:val="22"/>
              </w:rPr>
              <w:t>3.4.1 Added inspection requirement</w:t>
            </w:r>
          </w:p>
          <w:p>
            <w:pPr>
              <w:pStyle w:val="P20"/>
              <w:spacing w:before="0" w:after="0"/>
              <w:rPr>
                <w:rFonts w:ascii="Calibri" w:hAnsi="Calibri"/>
                <w:b w:val="1"/>
                <w:sz w:val="22"/>
              </w:rPr>
            </w:pPr>
            <w:r>
              <w:rPr>
                <w:rFonts w:ascii="Calibri" w:hAnsi="Calibri"/>
                <w:sz w:val="22"/>
              </w:rPr>
              <w:t>(BM)</w:t>
            </w:r>
          </w:p>
        </w:tc>
      </w:tr>
      <w:tr>
        <w:trPr>
          <w:wAfter w:w="0" w:type="dxa"/>
        </w:trPr>
        <w:tc>
          <w:tcPr>
            <w:tcW w:w="1004" w:type="dxa"/>
            <w:vAlign w:val="center"/>
          </w:tcPr>
          <w:p>
            <w:pPr>
              <w:pStyle w:val="P20"/>
              <w:jc w:val="center"/>
              <w:rPr>
                <w:rFonts w:ascii="Calibri" w:hAnsi="Calibri"/>
                <w:sz w:val="22"/>
              </w:rPr>
            </w:pPr>
            <w:r>
              <w:rPr>
                <w:rFonts w:ascii="Calibri" w:hAnsi="Calibri"/>
                <w:sz w:val="22"/>
              </w:rPr>
              <w:t>11</w:t>
            </w:r>
          </w:p>
        </w:tc>
        <w:tc>
          <w:tcPr>
            <w:tcW w:w="1980" w:type="dxa"/>
            <w:vAlign w:val="center"/>
          </w:tcPr>
          <w:p>
            <w:pPr>
              <w:pStyle w:val="P20"/>
              <w:rPr>
                <w:rFonts w:ascii="Calibri" w:hAnsi="Calibri"/>
                <w:sz w:val="22"/>
              </w:rPr>
            </w:pPr>
            <w:r>
              <w:rPr>
                <w:rFonts w:ascii="Calibri" w:hAnsi="Calibri"/>
                <w:sz w:val="22"/>
              </w:rPr>
              <w:t>March 31, 2020</w:t>
            </w:r>
          </w:p>
        </w:tc>
        <w:tc>
          <w:tcPr>
            <w:tcW w:w="5863" w:type="dxa"/>
            <w:vAlign w:val="center"/>
          </w:tcPr>
          <w:p>
            <w:pPr>
              <w:pStyle w:val="P20"/>
              <w:spacing w:before="0" w:after="0"/>
              <w:rPr>
                <w:rFonts w:ascii="Calibri" w:hAnsi="Calibri"/>
                <w:sz w:val="22"/>
              </w:rPr>
            </w:pPr>
            <w:r>
              <w:rPr>
                <w:rFonts w:ascii="Calibri" w:hAnsi="Calibri"/>
                <w:sz w:val="22"/>
              </w:rPr>
              <w:t xml:space="preserve">References updated throughout </w:t>
            </w:r>
          </w:p>
          <w:p>
            <w:pPr>
              <w:pStyle w:val="P20"/>
              <w:spacing w:before="0" w:after="0"/>
              <w:rPr>
                <w:rFonts w:ascii="Calibri" w:hAnsi="Calibri"/>
                <w:sz w:val="22"/>
              </w:rPr>
            </w:pPr>
            <w:r>
              <w:rPr>
                <w:rFonts w:ascii="Calibri" w:hAnsi="Calibri"/>
                <w:sz w:val="22"/>
              </w:rPr>
              <w:t>2.1 materials revised</w:t>
            </w:r>
          </w:p>
          <w:p>
            <w:pPr>
              <w:pStyle w:val="P20"/>
              <w:spacing w:before="0" w:after="0"/>
              <w:rPr>
                <w:rFonts w:ascii="Calibri" w:hAnsi="Calibri"/>
                <w:sz w:val="22"/>
              </w:rPr>
            </w:pPr>
            <w:r>
              <w:rPr>
                <w:rFonts w:ascii="Calibri" w:hAnsi="Calibri"/>
                <w:sz w:val="22"/>
              </w:rPr>
              <w:t>3.1 revised</w:t>
            </w:r>
          </w:p>
          <w:p>
            <w:pPr>
              <w:pStyle w:val="P20"/>
              <w:spacing w:before="0" w:after="0"/>
              <w:rPr>
                <w:rFonts w:ascii="Calibri" w:hAnsi="Calibri"/>
                <w:sz w:val="22"/>
              </w:rPr>
            </w:pPr>
            <w:r>
              <w:rPr>
                <w:rFonts w:ascii="Calibri" w:hAnsi="Calibri"/>
                <w:sz w:val="22"/>
              </w:rPr>
              <w:t>3.4 revised (BM)</w:t>
            </w:r>
          </w:p>
        </w:tc>
      </w:tr>
    </w:tbl>
    <w:p>
      <w:pPr>
        <w:pStyle w:val="P36"/>
        <w:numPr>
          <w:ilvl w:val="0"/>
          <w:numId w:val="0"/>
        </w:numPr>
        <w:tabs>
          <w:tab w:val="left" w:pos="1080" w:leader="none"/>
        </w:tabs>
      </w:pPr>
    </w:p>
    <w:p>
      <w:pPr>
        <w:pStyle w:val="P2"/>
        <w:rPr>
          <w:rFonts w:ascii="Calibri" w:hAnsi="Calibri"/>
        </w:rPr>
      </w:pP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2"/>
        <w:rPr>
          <w:rFonts w:ascii="Calibri" w:hAnsi="Calibri"/>
        </w:rPr>
      </w:pPr>
    </w:p>
    <w:p>
      <w:pPr>
        <w:pStyle w:val="P36"/>
      </w:pPr>
      <w:r>
        <w:br w:type="page"/>
        <w:t>GENERAL</w:t>
      </w:r>
    </w:p>
    <w:p>
      <w:pPr>
        <w:pStyle w:val="P37"/>
      </w:pPr>
      <w:r>
        <w:t>Related Sections</w:t>
      </w:r>
    </w:p>
    <w:p>
      <w:pPr>
        <w:pStyle w:val="P38"/>
        <w:numPr>
          <w:ilvl w:val="2"/>
          <w:numId w:val="0"/>
        </w:numPr>
        <w:tabs>
          <w:tab w:val="left" w:pos="709" w:leader="none"/>
        </w:tabs>
        <w:ind w:left="709"/>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Contractor is responsible for coordination of the Work.</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8"/>
        <w:numPr>
          <w:ilvl w:val="2"/>
          <w:numId w:val="0"/>
        </w:numPr>
        <w:tabs>
          <w:tab w:val="left" w:pos="709" w:leader="none"/>
        </w:tabs>
        <w:ind w:left="709"/>
        <w:rPr>
          <w:i w:val="1"/>
          <w:highlight w:val="yellow"/>
        </w:rPr>
      </w:pPr>
    </w:p>
    <w:p>
      <w:pPr>
        <w:pStyle w:val="P38"/>
        <w:numPr>
          <w:ilvl w:val="2"/>
          <w:numId w:val="0"/>
        </w:numPr>
        <w:tabs>
          <w:tab w:val="left" w:pos="709" w:leader="none"/>
        </w:tabs>
        <w:ind w:left="709"/>
        <w:rPr>
          <w:i w:val="1"/>
        </w:rPr>
      </w:pPr>
      <w:r>
        <w:rPr>
          <w:i w:val="1"/>
          <w:highlight w:val="yellow"/>
        </w:rPr>
        <w:t>[List Sections specifying installation of products supplied but not installed under this Section and indicate specific items.]</w:t>
      </w:r>
    </w:p>
    <w:p>
      <w:pPr>
        <w:pStyle w:val="P38"/>
        <w:tabs>
          <w:tab w:val="left" w:pos="1418" w:leader="none"/>
          <w:tab w:val="clear" w:pos="1440" w:leader="none"/>
        </w:tabs>
        <w:ind w:hanging="709" w:left="1418"/>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8"/>
        <w:numPr>
          <w:ilvl w:val="2"/>
          <w:numId w:val="0"/>
        </w:numPr>
        <w:ind w:left="4320"/>
      </w:pPr>
    </w:p>
    <w:p>
      <w:pPr>
        <w:pStyle w:val="P38"/>
        <w:numPr>
          <w:ilvl w:val="2"/>
          <w:numId w:val="0"/>
        </w:numPr>
        <w:tabs>
          <w:tab w:val="left" w:pos="709" w:leader="none"/>
        </w:tabs>
        <w:ind w:left="709"/>
        <w:rPr>
          <w:i w:val="1"/>
        </w:rPr>
      </w:pPr>
      <w:r>
        <w:rPr>
          <w:i w:val="1"/>
          <w:highlight w:val="yellow"/>
        </w:rPr>
        <w:t>[List Sections specifying products installed but not supplied under this Section and indicate specific items.]</w:t>
      </w:r>
    </w:p>
    <w:p>
      <w:pPr>
        <w:pStyle w:val="P38"/>
        <w:tabs>
          <w:tab w:val="left" w:pos="1418" w:leader="none"/>
          <w:tab w:val="clear" w:pos="1440" w:leader="none"/>
        </w:tabs>
        <w:ind w:hanging="709" w:left="1418"/>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8"/>
        <w:numPr>
          <w:ilvl w:val="2"/>
          <w:numId w:val="0"/>
        </w:numPr>
        <w:ind w:left="4320"/>
      </w:pPr>
    </w:p>
    <w:p>
      <w:pPr>
        <w:pStyle w:val="P38"/>
        <w:numPr>
          <w:ilvl w:val="2"/>
          <w:numId w:val="0"/>
        </w:numPr>
        <w:tabs>
          <w:tab w:val="left" w:pos="709" w:leader="none"/>
        </w:tabs>
        <w:ind w:left="709"/>
        <w:rPr>
          <w:i w:val="1"/>
        </w:rPr>
      </w:pPr>
      <w:r>
        <w:rPr>
          <w:i w:val="1"/>
          <w:highlight w:val="yellow"/>
        </w:rPr>
        <w:t>[List Sections specifying related requirements.]</w:t>
      </w:r>
    </w:p>
    <w:p>
      <w:pPr>
        <w:pStyle w:val="P38"/>
        <w:tabs>
          <w:tab w:val="left" w:pos="1418" w:leader="none"/>
          <w:tab w:val="clear" w:pos="1440" w:leader="none"/>
        </w:tabs>
        <w:ind w:hanging="709" w:left="1418"/>
        <w:rPr>
          <w:highlight w:val="yellow"/>
        </w:rPr>
      </w:pPr>
      <w:r>
        <w:t xml:space="preserve">Section </w:t>
      </w:r>
      <w:r>
        <w:rPr>
          <w:highlight w:val="yellow"/>
        </w:rPr>
        <w:t xml:space="preserve">[______ – ____________]:  [Optional short phrase indicating relationship].</w:t>
      </w:r>
    </w:p>
    <w:p>
      <w:pPr>
        <w:pStyle w:val="P37"/>
      </w:pPr>
      <w:r>
        <w:t>Measurement and Payment</w:t>
      </w:r>
    </w:p>
    <w:p>
      <w:pPr>
        <w:pStyle w:val="P24"/>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4"/>
        <w:tabs>
          <w:tab w:val="left" w:pos="2160" w:leader="none"/>
          <w:tab w:val="left" w:pos="2880" w:leader="none"/>
        </w:tabs>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24"/>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4"/>
        <w:tabs>
          <w:tab w:val="left" w:pos="2160" w:leader="none"/>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24"/>
        <w:tabs>
          <w:tab w:val="left" w:pos="1440" w:leader="none"/>
          <w:tab w:val="left" w:pos="216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37"/>
        <w:numPr>
          <w:ilvl w:val="1"/>
          <w:numId w:val="0"/>
        </w:numPr>
        <w:ind w:left="720"/>
      </w:pPr>
      <w:r>
        <w:rPr>
          <w:highlight w:val="yellow"/>
        </w:rPr>
        <w:t>If the work of this Section is to be measured and paid for by several different methods, please amend the standard wording given above to reflect the different methods of measurement and payment.]</w:t>
      </w:r>
    </w:p>
    <w:p>
      <w:pPr>
        <w:pStyle w:val="P37"/>
        <w:rPr>
          <w:u w:val="single"/>
        </w:rPr>
      </w:pPr>
      <w:r>
        <w:rPr>
          <w:u w:val="single"/>
        </w:rPr>
        <w:t>References</w:t>
      </w:r>
    </w:p>
    <w:p>
      <w:pPr>
        <w:pStyle w:val="P38"/>
        <w:tabs>
          <w:tab w:val="left" w:pos="1418" w:leader="none"/>
          <w:tab w:val="clear" w:pos="1440" w:leader="none"/>
        </w:tabs>
        <w:ind w:hanging="709" w:left="1418"/>
      </w:pPr>
      <w:r>
        <w:t>Reinforcing Steel Institute of Canada, Reinforcing Steel Manual of Standard Practice.</w:t>
      </w:r>
    </w:p>
    <w:p>
      <w:pPr>
        <w:pStyle w:val="P38"/>
        <w:tabs>
          <w:tab w:val="left" w:pos="1418" w:leader="none"/>
          <w:tab w:val="clear" w:pos="1440" w:leader="none"/>
        </w:tabs>
        <w:ind w:hanging="709" w:left="1418"/>
      </w:pPr>
      <w:r>
        <w:t>American Concrete Institute (ACI)</w:t>
      </w:r>
    </w:p>
    <w:p>
      <w:pPr>
        <w:pStyle w:val="P39"/>
      </w:pPr>
      <w:r>
        <w:t>SP-066(04), ACI Detailing Manual-2004</w:t>
      </w:r>
    </w:p>
    <w:p>
      <w:pPr>
        <w:pStyle w:val="P38"/>
        <w:tabs>
          <w:tab w:val="left" w:pos="1418" w:leader="none"/>
          <w:tab w:val="clear" w:pos="1440" w:leader="none"/>
        </w:tabs>
        <w:ind w:hanging="709" w:left="1418"/>
      </w:pPr>
      <w:r>
        <w:t>American Society for Testing and Materials (ASTM)</w:t>
      </w:r>
    </w:p>
    <w:p>
      <w:pPr>
        <w:pStyle w:val="P39"/>
      </w:pPr>
      <w:r>
        <w:t>ASTM A775/A775M-19, Standard Specification for Epoxy-Coated Steel Reinforcing Bars.</w:t>
      </w:r>
    </w:p>
    <w:p>
      <w:pPr>
        <w:pStyle w:val="P39"/>
      </w:pPr>
      <w:r>
        <w:t>ASTM A123/A123M-17, Standard Specification for Zinc (Hot-Dip Galvanized) Coatings on Iron and Steel Products.</w:t>
      </w:r>
    </w:p>
    <w:p>
      <w:pPr>
        <w:pStyle w:val="P39"/>
      </w:pPr>
      <w:r>
        <w:t>ASTM A1064/A1064M-18a, Standard Specification for Carbon-Steel Wire and Welded Wire Reinforcement, Plain and Deformed, for Concrete.</w:t>
      </w:r>
    </w:p>
    <w:p>
      <w:pPr>
        <w:pStyle w:val="P38"/>
        <w:tabs>
          <w:tab w:val="left" w:pos="1418" w:leader="none"/>
          <w:tab w:val="clear" w:pos="1440" w:leader="none"/>
        </w:tabs>
        <w:ind w:hanging="709" w:left="1418"/>
      </w:pPr>
      <w:r>
        <w:t>Canadian Standards Association (CSA)</w:t>
      </w:r>
    </w:p>
    <w:p>
      <w:pPr>
        <w:pStyle w:val="P39"/>
      </w:pPr>
      <w:r>
        <w:t>CSA A23.1-14, Concrete Materials and Methods of Concrete Construction.</w:t>
      </w:r>
    </w:p>
    <w:p>
      <w:pPr>
        <w:pStyle w:val="P39"/>
      </w:pPr>
      <w:r>
        <w:t>CSA A23.3-14, Design of Concrete Structures for Buildings.</w:t>
      </w:r>
    </w:p>
    <w:p>
      <w:pPr>
        <w:pStyle w:val="P39"/>
      </w:pPr>
      <w:r>
        <w:t>CSA G30.18-09 (R2019), Carbon Steel Bars for Concrete Reinforcement.</w:t>
      </w:r>
    </w:p>
    <w:p>
      <w:pPr>
        <w:pStyle w:val="P39"/>
      </w:pPr>
      <w:r>
        <w:t>CSA G40.20-13/G40.21-13 (R2018), General Requirements for Rolled or Welded Structural Quality Steel/Structural Quality Steel.</w:t>
      </w:r>
    </w:p>
    <w:p>
      <w:pPr>
        <w:pStyle w:val="P39"/>
      </w:pPr>
      <w:r>
        <w:t>CSA W186 M1990 (R2016), Welding of Reinforcing Bars in Reinforced Concrete Construction.</w:t>
      </w:r>
    </w:p>
    <w:p>
      <w:pPr>
        <w:pStyle w:val="P37"/>
      </w:pPr>
      <w:r>
        <w:t xml:space="preserve">Shop Drawings </w:t>
      </w:r>
    </w:p>
    <w:p>
      <w:pPr>
        <w:pStyle w:val="P38"/>
        <w:tabs>
          <w:tab w:val="left" w:pos="1418" w:leader="none"/>
          <w:tab w:val="clear" w:pos="1440" w:leader="none"/>
        </w:tabs>
        <w:ind w:hanging="709" w:left="1418"/>
      </w:pPr>
      <w:r>
        <w:t>Submit shop drawings in accordance with Section 01300 – Submittals.</w:t>
      </w:r>
    </w:p>
    <w:p>
      <w:pPr>
        <w:pStyle w:val="P38"/>
        <w:tabs>
          <w:tab w:val="left" w:pos="1418" w:leader="none"/>
          <w:tab w:val="clear" w:pos="1440" w:leader="none"/>
        </w:tabs>
        <w:ind w:hanging="709" w:left="1418"/>
      </w:pPr>
      <w:r>
        <w:t xml:space="preserve">Before submitting the shop drawings of reinforcing bar, provide shop drawings detailing all construction so that the reinforcing details can be confirmed against the pours. </w:t>
      </w:r>
    </w:p>
    <w:p>
      <w:pPr>
        <w:pStyle w:val="P38"/>
        <w:tabs>
          <w:tab w:val="left" w:pos="1418" w:leader="none"/>
          <w:tab w:val="clear" w:pos="1440" w:leader="none"/>
        </w:tabs>
        <w:ind w:hanging="709" w:left="1418"/>
      </w:pPr>
      <w:r>
        <w:t xml:space="preserve">Indicate on the shop drawings, bar bending details, lists, quantities of reinforcement, sizes, spacings, locations of reinforcement and mechanical splices if approved by the Consultant, with identifying code marks to permit correct placement without reference to the structural drawings. Indicate the sizes, spacings and locations of chairs, spacers and hangers.  Prepare reinforcement drawings in accordance with the Reinforcing Steel Manual of Standard Practice by the Reinforcing Steel Institute of Canada.</w:t>
      </w:r>
    </w:p>
    <w:p>
      <w:pPr>
        <w:pStyle w:val="P38"/>
        <w:tabs>
          <w:tab w:val="left" w:pos="1418" w:leader="none"/>
          <w:tab w:val="clear" w:pos="1440" w:leader="none"/>
        </w:tabs>
        <w:ind w:hanging="709" w:left="1418"/>
      </w:pPr>
      <w:r>
        <w:t xml:space="preserve">Detail lap lengths and bar development lengths in accordance with CSA A23.3-14.  Provide type B tension lap splices unless otherwise indicated on the Contract Drawings.</w:t>
      </w:r>
    </w:p>
    <w:p>
      <w:pPr>
        <w:pStyle w:val="P36"/>
      </w:pPr>
      <w:r>
        <w:t>PRODUCTS</w:t>
      </w:r>
    </w:p>
    <w:p>
      <w:pPr>
        <w:pStyle w:val="P37"/>
      </w:pPr>
      <w:r>
        <w:t>Materials</w:t>
      </w:r>
    </w:p>
    <w:p>
      <w:pPr>
        <w:pStyle w:val="P38"/>
        <w:tabs>
          <w:tab w:val="left" w:pos="1418" w:leader="none"/>
          <w:tab w:val="clear" w:pos="1440" w:leader="none"/>
        </w:tabs>
        <w:ind w:hanging="709" w:left="1418"/>
      </w:pPr>
      <w:r>
        <w:t>Substitute different sized bars only if permitted in writing by the Consultant.</w:t>
      </w:r>
    </w:p>
    <w:p>
      <w:pPr>
        <w:pStyle w:val="P38"/>
        <w:tabs>
          <w:tab w:val="left" w:pos="1418" w:leader="none"/>
          <w:tab w:val="clear" w:pos="1440" w:leader="none"/>
        </w:tabs>
        <w:ind w:hanging="709" w:left="1418"/>
      </w:pPr>
      <w:r>
        <w:t>Reinforcing steel: billet steel, grade 400, deformed bars in accordance with G30.18-09 (R2019)</w:t>
      </w:r>
      <w:r>
        <w:rPr>
          <w:i w:val="1"/>
        </w:rPr>
        <w:t xml:space="preserve"> </w:t>
      </w:r>
      <w:r>
        <w:rPr>
          <w:i w:val="1"/>
          <w:highlight w:val="yellow"/>
          <w:shd w:val="clear" w:color="auto" w:fill="D9D9D9"/>
        </w:rPr>
        <w:t>[</w:t>
      </w:r>
      <w:r>
        <w:rPr>
          <w:i w:val="1"/>
          <w:highlight w:val="yellow"/>
          <w:shd w:val="clear" w:color="auto" w:fill="D9D9D9"/>
        </w:rPr>
        <w:t xml:space="preserve">Consultant to </w:t>
      </w:r>
      <w:r>
        <w:rPr>
          <w:i w:val="1"/>
          <w:highlight w:val="yellow"/>
          <w:shd w:val="clear" w:color="auto" w:fill="D9D9D9"/>
        </w:rPr>
        <w:t>confirm standard reference</w:t>
      </w:r>
      <w:r>
        <w:rPr>
          <w:i w:val="1"/>
          <w:highlight w:val="yellow"/>
          <w:shd w:val="clear" w:color="auto" w:fill="D9D9D9"/>
        </w:rPr>
        <w:t>]</w:t>
      </w:r>
      <w:r>
        <w:t xml:space="preserve"> unless indicated otherwise on the Contract Drawings.</w:t>
      </w:r>
    </w:p>
    <w:p>
      <w:pPr>
        <w:pStyle w:val="P38"/>
      </w:pPr>
      <w:r>
        <w:t>Reinforcing steel: weldable low alloy steel deformed bars in accordance with G30.18-09 (R2019)</w:t>
      </w:r>
      <w:r>
        <w:rPr>
          <w:i w:val="1"/>
        </w:rPr>
        <w:t xml:space="preserve"> </w:t>
      </w:r>
      <w:r>
        <w:rPr>
          <w:i w:val="1"/>
          <w:highlight w:val="yellow"/>
        </w:rPr>
        <w:t>[</w:t>
      </w:r>
      <w:r>
        <w:rPr>
          <w:i w:val="1"/>
          <w:highlight w:val="yellow"/>
        </w:rPr>
        <w:t>Consultant to confirm standard reference</w:t>
      </w:r>
      <w:r>
        <w:rPr>
          <w:highlight w:val="yellow"/>
        </w:rPr>
        <w:t>]</w:t>
      </w:r>
      <w:r>
        <w:t>.</w:t>
      </w:r>
    </w:p>
    <w:p>
      <w:pPr>
        <w:pStyle w:val="P38"/>
      </w:pPr>
      <w:r>
        <w:t>Cold drawn annealed steel wire ties: in accordance with ASTM A1064/A1064M-18a</w:t>
      </w:r>
      <w:r>
        <w:rPr>
          <w:i w:val="1"/>
        </w:rPr>
        <w:t xml:space="preserve"> </w:t>
      </w:r>
      <w:r>
        <w:rPr>
          <w:i w:val="1"/>
          <w:highlight w:val="yellow"/>
        </w:rPr>
        <w:t>[Consultant to confirm standard reference</w:t>
      </w:r>
      <w:r>
        <w:rPr>
          <w:highlight w:val="yellow"/>
        </w:rPr>
        <w:t>]</w:t>
      </w:r>
      <w:r>
        <w:t>.</w:t>
      </w:r>
    </w:p>
    <w:p>
      <w:pPr>
        <w:pStyle w:val="P38"/>
        <w:tabs>
          <w:tab w:val="left" w:pos="1418" w:leader="none"/>
          <w:tab w:val="clear" w:pos="1440" w:leader="none"/>
        </w:tabs>
        <w:ind w:hanging="709" w:left="1418"/>
      </w:pPr>
      <w:r>
        <w:t>Welded steel wire fabric: in accordance with ASTM A1064/A1064M-18a. Provide in flat sheets only.</w:t>
      </w:r>
    </w:p>
    <w:p>
      <w:pPr>
        <w:pStyle w:val="P38"/>
        <w:tabs>
          <w:tab w:val="left" w:pos="1418" w:leader="none"/>
          <w:tab w:val="clear" w:pos="1440" w:leader="none"/>
        </w:tabs>
        <w:ind w:hanging="709" w:left="1418"/>
      </w:pPr>
      <w:r>
        <w:t xml:space="preserve">Welded deformed steel wire fabric: in accordance with ASTM A1064/A1064M-18a.  Provide in flat sheets only.</w:t>
      </w:r>
    </w:p>
    <w:p>
      <w:pPr>
        <w:pStyle w:val="P38"/>
        <w:tabs>
          <w:tab w:val="left" w:pos="1418" w:leader="none"/>
          <w:tab w:val="clear" w:pos="1440" w:leader="none"/>
        </w:tabs>
        <w:ind w:hanging="709" w:left="1418"/>
      </w:pPr>
      <w:r>
        <w:t>Epoxy coating of non-pre-stressed reinforcement: in accordance with ASTM A775/A775M-19.</w:t>
      </w:r>
    </w:p>
    <w:p>
      <w:pPr>
        <w:pStyle w:val="P38"/>
        <w:tabs>
          <w:tab w:val="left" w:pos="1418" w:leader="none"/>
          <w:tab w:val="clear" w:pos="1440" w:leader="none"/>
        </w:tabs>
        <w:ind w:hanging="709" w:left="1418"/>
      </w:pPr>
      <w:r>
        <w:t>Galvanizing of non-pre-stressed reinforcement: in accordance with ASTM A123/A123M-17, minimum zinc coating 610 g/m</w:t>
      </w:r>
      <w:r>
        <w:rPr>
          <w:vertAlign w:val="superscript"/>
        </w:rPr>
        <w:t>2</w:t>
      </w:r>
      <w:r>
        <w:t>.</w:t>
      </w:r>
    </w:p>
    <w:p>
      <w:pPr>
        <w:pStyle w:val="P38"/>
        <w:tabs>
          <w:tab w:val="left" w:pos="1418" w:leader="none"/>
          <w:tab w:val="clear" w:pos="1440" w:leader="none"/>
        </w:tabs>
        <w:ind w:hanging="709" w:left="1418"/>
      </w:pPr>
      <w:r>
        <w:t>Chairs, bolsters, bar supports, spacers: in accordance with CSA A23.1-14.</w:t>
      </w:r>
    </w:p>
    <w:p>
      <w:pPr>
        <w:pStyle w:val="P38"/>
      </w:pPr>
      <w:r>
        <w:t xml:space="preserve">Mechanical Splices Products: in accordance with CSA G30.18-09 (R2019) </w:t>
      </w:r>
      <w:r>
        <w:rPr>
          <w:i w:val="1"/>
          <w:highlight w:val="yellow"/>
        </w:rPr>
        <w:t xml:space="preserve">[Consultant to </w:t>
      </w:r>
      <w:r>
        <w:rPr>
          <w:i w:val="1"/>
          <w:highlight w:val="yellow"/>
        </w:rPr>
        <w:t>confirm standard reference</w:t>
      </w:r>
      <w:r>
        <w:rPr>
          <w:i w:val="1"/>
          <w:highlight w:val="yellow"/>
          <w:shd w:val="clear" w:color="auto" w:fill="D9D9D9"/>
        </w:rPr>
        <w:t>]</w:t>
      </w:r>
      <w:r>
        <w:t>.</w:t>
      </w:r>
    </w:p>
    <w:p>
      <w:pPr>
        <w:pStyle w:val="P38"/>
      </w:pPr>
      <w:r>
        <w:t>Dowel Bars: Structural grade steel conforming to requirements of ASTM A663, Grade 70 or better. Cut bars to length with ends square and free of burrs.</w:t>
      </w:r>
    </w:p>
    <w:p>
      <w:pPr>
        <w:pStyle w:val="P38"/>
        <w:tabs>
          <w:tab w:val="left" w:pos="1418" w:leader="none"/>
          <w:tab w:val="clear" w:pos="1440" w:leader="none"/>
        </w:tabs>
        <w:ind w:hanging="709" w:left="1418"/>
      </w:pPr>
      <w:r>
        <w:t xml:space="preserve">Plain round bars: in accordance with CSA G40.20-13/G40.21-13 (R2018) </w:t>
      </w:r>
      <w:r>
        <w:rPr>
          <w:i w:val="1"/>
          <w:highlight w:val="yellow"/>
        </w:rPr>
        <w:t xml:space="preserve">[Consultant to </w:t>
      </w:r>
      <w:r>
        <w:rPr>
          <w:i w:val="1"/>
          <w:highlight w:val="yellow"/>
        </w:rPr>
        <w:t>confirm standard reference</w:t>
      </w:r>
      <w:r>
        <w:rPr>
          <w:i w:val="1"/>
          <w:highlight w:val="yellow"/>
          <w:shd w:val="clear" w:color="auto" w:fill="D9D9D9"/>
        </w:rPr>
        <w:t>]</w:t>
      </w:r>
      <w:r>
        <w:t>.</w:t>
      </w:r>
    </w:p>
    <w:p>
      <w:pPr>
        <w:pStyle w:val="P37"/>
      </w:pPr>
      <w:r>
        <w:t>Fabrication</w:t>
      </w:r>
    </w:p>
    <w:p>
      <w:pPr>
        <w:pStyle w:val="P38"/>
        <w:tabs>
          <w:tab w:val="left" w:pos="1418" w:leader="none"/>
          <w:tab w:val="clear" w:pos="1440" w:leader="none"/>
        </w:tabs>
        <w:ind w:hanging="709" w:left="1418"/>
      </w:pPr>
      <w:r>
        <w:t>Fabricate reinforcing steel in accordance with CSA A23.1-14, ACI SP-066(04), and the Reinforcing Steel Manual of Standard Practice by the Reinforcing Steel Institute of Canada unless indicated otherwise on the Contract Drawings.</w:t>
      </w:r>
    </w:p>
    <w:p>
      <w:pPr>
        <w:pStyle w:val="P38"/>
        <w:tabs>
          <w:tab w:val="left" w:pos="1418" w:leader="none"/>
          <w:tab w:val="clear" w:pos="1440" w:leader="none"/>
        </w:tabs>
        <w:ind w:hanging="709" w:left="1418"/>
      </w:pPr>
      <w:r>
        <w:t>Obtain the Consultant’s approval for the locations of reinforcement splices other than those shown on the Contract Drawings.</w:t>
      </w:r>
    </w:p>
    <w:p>
      <w:pPr>
        <w:pStyle w:val="P38"/>
        <w:tabs>
          <w:tab w:val="left" w:pos="1418" w:leader="none"/>
          <w:tab w:val="clear" w:pos="1440" w:leader="none"/>
        </w:tabs>
        <w:ind w:hanging="709" w:left="1418"/>
      </w:pPr>
      <w:r>
        <w:t>Upon the approval of the Consultant, weld reinforcement in accordance with CSA W186-M1990 (R2016).</w:t>
      </w:r>
    </w:p>
    <w:p>
      <w:pPr>
        <w:pStyle w:val="P38"/>
        <w:tabs>
          <w:tab w:val="left" w:pos="1418" w:leader="none"/>
          <w:tab w:val="clear" w:pos="1440" w:leader="none"/>
        </w:tabs>
        <w:ind w:hanging="709" w:left="1418"/>
      </w:pPr>
      <w:r>
        <w:t>Ship bundles of bar reinforcement, clearly identified in accordance with bar bending details and lists as shown on the reinforced steel shop drawings.</w:t>
      </w:r>
    </w:p>
    <w:p>
      <w:pPr>
        <w:pStyle w:val="P37"/>
      </w:pPr>
      <w:r>
        <w:t>Quality Control</w:t>
      </w:r>
    </w:p>
    <w:p>
      <w:pPr>
        <w:pStyle w:val="P38"/>
        <w:tabs>
          <w:tab w:val="left" w:pos="1418" w:leader="none"/>
          <w:tab w:val="clear" w:pos="1440" w:leader="none"/>
        </w:tabs>
        <w:ind w:hanging="709" w:left="1418"/>
      </w:pPr>
      <w:r>
        <w:t>Provide the Consultant with a certified copy of the mill test report of reinforcing steel, showing the physical and chemical analysis, a minimum of twenty-eight (28) Days prior to commencing any reinforcing work.</w:t>
      </w:r>
    </w:p>
    <w:p>
      <w:pPr>
        <w:pStyle w:val="P38"/>
        <w:tabs>
          <w:tab w:val="left" w:pos="1418" w:leader="none"/>
          <w:tab w:val="clear" w:pos="1440" w:leader="none"/>
        </w:tabs>
        <w:ind w:hanging="709" w:left="1418"/>
      </w:pPr>
      <w:r>
        <w:t>Upon request, inform the Consultant of the proposed source of material to be supplied.</w:t>
      </w:r>
    </w:p>
    <w:p>
      <w:pPr>
        <w:pStyle w:val="P36"/>
      </w:pPr>
      <w:r>
        <w:t>EXECUTION</w:t>
      </w:r>
    </w:p>
    <w:p>
      <w:pPr>
        <w:pStyle w:val="P37"/>
      </w:pPr>
      <w:r>
        <w:t>Preparation</w:t>
      </w:r>
    </w:p>
    <w:p>
      <w:pPr>
        <w:pStyle w:val="P38"/>
      </w:pPr>
      <w:r>
        <w:t>Ensure all materials are stored in a manner that will prevent contamination or deterioration through protection from freezing, excess heat, and moisture.</w:t>
      </w:r>
    </w:p>
    <w:p>
      <w:pPr>
        <w:pStyle w:val="P38"/>
        <w:tabs>
          <w:tab w:val="left" w:pos="1418" w:leader="none"/>
          <w:tab w:val="clear" w:pos="1440" w:leader="none"/>
        </w:tabs>
        <w:ind w:hanging="709" w:left="1418"/>
      </w:pPr>
      <w:r>
        <w:t>Clean reinforcing steel prior to placing so as to remove any particles that may impede the proper bond.</w:t>
      </w:r>
    </w:p>
    <w:p>
      <w:pPr>
        <w:pStyle w:val="P38"/>
      </w:pPr>
      <w:r>
        <w:t>Notify the Consultant when reinforcing is ready for inspection and allow sufficient time for inspection (a minimum of 48 hours) prior to placing concrete.</w:t>
      </w:r>
    </w:p>
    <w:p>
      <w:pPr>
        <w:pStyle w:val="P38"/>
      </w:pPr>
      <w:r>
        <w:t>Clean reinforcing bars of loose rust, mill scale, dried cement paste, mud, oil, or other coatings that will affect adhesion in accordance with CSA A23.1-14, Clause 6.1.6</w:t>
      </w:r>
      <w:r>
        <w:rPr>
          <w:i w:val="1"/>
        </w:rPr>
        <w:t xml:space="preserve"> </w:t>
      </w:r>
      <w:r>
        <w:rPr>
          <w:i w:val="1"/>
          <w:highlight w:val="yellow"/>
        </w:rPr>
        <w:t>[</w:t>
      </w:r>
      <w:r>
        <w:rPr>
          <w:i w:val="1"/>
          <w:highlight w:val="yellow"/>
        </w:rPr>
        <w:t>Consultant to verify]</w:t>
      </w:r>
      <w:r>
        <w:t xml:space="preserve"> - Surface Conditions of Reinforcement, prior to placing concrete.</w:t>
      </w:r>
    </w:p>
    <w:p>
      <w:pPr>
        <w:pStyle w:val="P37"/>
      </w:pPr>
      <w:r>
        <w:t>Field Bending</w:t>
      </w:r>
    </w:p>
    <w:p>
      <w:pPr>
        <w:pStyle w:val="P38"/>
        <w:tabs>
          <w:tab w:val="left" w:pos="1418" w:leader="none"/>
          <w:tab w:val="clear" w:pos="1440" w:leader="none"/>
        </w:tabs>
        <w:ind w:hanging="709" w:left="1418"/>
      </w:pPr>
      <w:r>
        <w:t>Do not field bend or field weld reinforcement except where indicated in the Contract Documents or authorized by the Consultant.</w:t>
      </w:r>
    </w:p>
    <w:p>
      <w:pPr>
        <w:pStyle w:val="P38"/>
        <w:tabs>
          <w:tab w:val="left" w:pos="1418" w:leader="none"/>
          <w:tab w:val="clear" w:pos="1440" w:leader="none"/>
        </w:tabs>
        <w:ind w:hanging="709" w:left="1418"/>
      </w:pPr>
      <w:r>
        <w:t>When field bending is authorized, bend without heat, applying a slow and steady pressure.</w:t>
      </w:r>
    </w:p>
    <w:p>
      <w:pPr>
        <w:pStyle w:val="P38"/>
        <w:tabs>
          <w:tab w:val="left" w:pos="1418" w:leader="none"/>
          <w:tab w:val="clear" w:pos="1440" w:leader="none"/>
        </w:tabs>
        <w:ind w:hanging="709" w:left="1418"/>
        <w:rPr>
          <w:u w:val="single"/>
        </w:rPr>
      </w:pPr>
      <w:r>
        <w:t>Replace all bars which develop any cracks or splits.</w:t>
      </w:r>
      <w:r>
        <w:rPr>
          <w:u w:val="single"/>
        </w:rPr>
        <w:t xml:space="preserve"> </w:t>
      </w:r>
    </w:p>
    <w:p>
      <w:pPr>
        <w:pStyle w:val="P37"/>
      </w:pPr>
      <w:r>
        <w:t>Placing Reinforcement</w:t>
      </w:r>
    </w:p>
    <w:p>
      <w:pPr>
        <w:pStyle w:val="P38"/>
        <w:tabs>
          <w:tab w:val="left" w:pos="1418" w:leader="none"/>
          <w:tab w:val="clear" w:pos="1440" w:leader="none"/>
        </w:tabs>
        <w:ind w:hanging="709" w:left="1418"/>
      </w:pPr>
      <w:r>
        <w:t>Place reinforcing steel as indicated on the Contractor’s reviewed placing drawings and in accordance with CSA A23.1-14.</w:t>
      </w:r>
    </w:p>
    <w:p>
      <w:pPr>
        <w:pStyle w:val="P38"/>
        <w:tabs>
          <w:tab w:val="left" w:pos="1418" w:leader="none"/>
          <w:tab w:val="clear" w:pos="1440" w:leader="none"/>
        </w:tabs>
        <w:ind w:hanging="709" w:left="1418"/>
      </w:pPr>
      <w:r>
        <w:t xml:space="preserve">Use plain round bars as slip dowels in the concrete.  Paint the portion of the dowel which is intended to move within the hardened concrete with one coat of asphalt paint.  When the paint is dry, apply a thick even film of mineral lubricating grease.</w:t>
      </w:r>
    </w:p>
    <w:p>
      <w:pPr>
        <w:pStyle w:val="P38"/>
        <w:tabs>
          <w:tab w:val="left" w:pos="1418" w:leader="none"/>
          <w:tab w:val="clear" w:pos="1440" w:leader="none"/>
        </w:tabs>
        <w:ind w:hanging="709" w:left="1418"/>
      </w:pPr>
      <w:r>
        <w:t xml:space="preserve">Ensure that the cover to the reinforcement is maintained during the concrete pour.  Comply with the erection tolerances of CSA A23.1-14.</w:t>
      </w:r>
    </w:p>
    <w:p>
      <w:pPr>
        <w:pStyle w:val="P37"/>
      </w:pPr>
      <w:r>
        <w:t>Inspection</w:t>
      </w:r>
    </w:p>
    <w:p>
      <w:pPr>
        <w:pStyle w:val="P38"/>
      </w:pPr>
      <w:r>
        <w:t>The Consultant will inspect the reinforcing steel once it has been placed and will check for conformity with the shop drawings, bar lists, depth of cover, free from debris/deleterious materials and waterstop placement. A signed checklist for the inspection shall be prepared by the Consultant providing approval prior to any concrete pour.</w:t>
      </w:r>
    </w:p>
    <w:p>
      <w:pPr>
        <w:pStyle w:val="P38"/>
        <w:tabs>
          <w:tab w:val="left" w:pos="1418" w:leader="none"/>
          <w:tab w:val="clear" w:pos="1440" w:leader="none"/>
        </w:tabs>
        <w:ind w:hanging="709" w:left="1418"/>
      </w:pPr>
      <w:r>
        <w:t>Notify the Consultant a minimum of two Working Days in advance of the date of the proposed inspection.</w:t>
      </w:r>
    </w:p>
    <w:p>
      <w:pPr>
        <w:pStyle w:val="P38"/>
        <w:tabs>
          <w:tab w:val="left" w:pos="1418" w:leader="none"/>
          <w:tab w:val="clear" w:pos="1440" w:leader="none"/>
        </w:tabs>
        <w:ind w:hanging="709" w:left="1418"/>
      </w:pPr>
      <w:r>
        <w:t>The Consultant’s review does not relieve the Contractor of its responsibility for correctly placing and adequately supporting the reinforcing steel.</w:t>
      </w:r>
    </w:p>
    <w:p>
      <w:pPr>
        <w:pStyle w:val="P38"/>
        <w:tabs>
          <w:tab w:val="left" w:pos="1418" w:leader="none"/>
          <w:tab w:val="clear" w:pos="1440" w:leader="none"/>
        </w:tabs>
        <w:ind w:hanging="709" w:left="1418"/>
      </w:pPr>
      <w:r>
        <w:t>Protect epoxy coated portions of bars with covering during transportation and handling.</w:t>
      </w:r>
    </w:p>
    <w:p>
      <w:pPr>
        <w:pStyle w:val="P38"/>
      </w:pPr>
      <w:r>
        <w:t xml:space="preserve">At the discretion of the Region, an independent testing agency may be retained by the Region to visually inspect and test reinforcing steel welds as specified in Section 05050 - Welding. The Contractor shall make good any steel welds that are deemed inadequate by the independent testing agency.   </w:t>
      </w:r>
      <w:r>
        <w:rPr>
          <w:i w:val="1"/>
          <w:highlight w:val="yellow"/>
        </w:rPr>
        <w:t>[Consultant to confirm Section 05050 content to permit inspection and testing</w:t>
      </w:r>
      <w:r>
        <w:rPr>
          <w:i w:val="1"/>
          <w:highlight w:val="yellow"/>
        </w:rPr>
        <w:t xml:space="preserve"> and amend to ensure Contractor is responsible for correcting all welds deemed inadequate by the independent testing agency/welding inspector</w:t>
      </w:r>
      <w:r>
        <w:rPr>
          <w:i w:val="1"/>
          <w:highlight w:val="yellow"/>
        </w:rPr>
        <w:t>]</w:t>
      </w:r>
      <w:r>
        <w:rPr>
          <w:highlight w:val="yellow"/>
        </w:rPr>
        <w:t>.</w:t>
      </w:r>
    </w:p>
    <w:p>
      <w:pPr>
        <w:pStyle w:val="P37"/>
      </w:pPr>
      <w:r>
        <w:t>Field Touch up</w:t>
      </w:r>
    </w:p>
    <w:p>
      <w:pPr>
        <w:pStyle w:val="P38"/>
        <w:tabs>
          <w:tab w:val="left" w:pos="1418" w:leader="none"/>
          <w:tab w:val="clear" w:pos="1440" w:leader="none"/>
        </w:tabs>
        <w:ind w:hanging="709" w:left="1418"/>
      </w:pPr>
      <w:r>
        <w:t>Touch up any damaged and cut ends of epoxy coated or galvanized reinforcing steel with a compatible finish in order to provide a continuous coating.</w:t>
      </w:r>
    </w:p>
    <w:p>
      <w:pPr>
        <w:pStyle w:val="P19"/>
        <w:spacing w:before="240"/>
        <w:jc w:val="center"/>
        <w:rPr>
          <w:rFonts w:ascii="Calibri" w:hAnsi="Calibri"/>
          <w:b w:val="1"/>
          <w:sz w:val="22"/>
        </w:rPr>
      </w:pPr>
      <w:r>
        <w:rPr>
          <w:rFonts w:ascii="Calibri" w:hAnsi="Calibri"/>
          <w:b w:val="1"/>
          <w:sz w:val="22"/>
        </w:rPr>
        <w:t>END OF SECTION</w:t>
      </w:r>
    </w:p>
    <w:p>
      <w:pPr>
        <w:pStyle w:val="P2"/>
        <w:rPr>
          <w:rFonts w:ascii="Calibri" w:hAnsi="Calibri"/>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03200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CONCRETE REINFORCEMENT</w:t>
    </w:r>
    <w:r>
      <w:tab/>
      <w:t>2015-09-16</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8"/>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 xml:space="preserve"> </w:t>
      <w:tab/>
      <w:t>Section 03200</w:t>
      <w:tab/>
    </w:r>
  </w:p>
  <w:p>
    <w:pPr>
      <w:pBdr>
        <w:top w:val="single" w:sz="4" w:space="0" w:shadow="0" w:frame="0"/>
      </w:pBdr>
      <w:tabs>
        <w:tab w:val="left" w:pos="-1440" w:leader="none"/>
        <w:tab w:val="left" w:pos="-720" w:leader="none"/>
        <w:tab w:val="left" w:pos="0" w:leader="none"/>
        <w:tab w:val="center" w:pos="5220" w:leader="none"/>
        <w:tab w:val="right" w:pos="10350" w:leader="none"/>
      </w:tabs>
    </w:pPr>
    <w:r>
      <w:tab/>
    </w:r>
    <w:r>
      <w:rPr>
        <w:b w:val="1"/>
      </w:rPr>
      <w:t>CONCRETE REINFORCEMENT</w:t>
    </w:r>
    <w:r>
      <w:tab/>
      <w:t>2020-03-31</w:t>
    </w:r>
  </w:p>
  <w:p>
    <w:pPr>
      <w:pBdr>
        <w:top w:val="single" w:sz="4" w:space="0" w:shadow="0" w:frame="0"/>
      </w:pBdr>
      <w:tabs>
        <w:tab w:val="center" w:pos="5175" w:leader="none"/>
        <w:tab w:val="right" w:pos="10350" w:leader="none"/>
      </w:tabs>
    </w:pPr>
    <w:r>
      <w:t xml:space="preserve">DATE:  </w:t>
    </w:r>
    <w:r>
      <w:rPr>
        <w:highlight w:val="yellow"/>
      </w:rPr>
      <w:t>[Insert Date, (e.g. Jan., 2018)]</w:t>
    </w:r>
    <w:r>
      <w:t xml:space="preserve"> </w:t>
      <w:tab/>
      <w:tab/>
      <w:t xml:space="preserve">Page </w:t>
    </w:r>
    <w:r>
      <w:fldChar w:fldCharType="begin"/>
    </w:r>
    <w:r>
      <w:instrText xml:space="preserve">PAGE </w:instrText>
    </w:r>
    <w:r>
      <w:fldChar w:fldCharType="separate"/>
    </w:r>
    <w:r>
      <w:t>#</w:t>
    </w:r>
    <w:r>
      <w:fldChar w:fldCharType="end"/>
    </w:r>
    <w:r>
      <w:t xml:space="preserve"> </w:t>
      <w:tab/>
      <w:t xml:space="preserve"> </w:t>
    </w:r>
  </w:p>
  <w:p>
    <w:pPr>
      <w:pStyle w:val="P8"/>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Section 03200</w:t>
      <w:tab/>
      <w:t xml:space="preserve">CONTRACT NO. </w:t>
    </w:r>
    <w:r>
      <w:rPr>
        <w:highlight w:val="yellow"/>
      </w:rPr>
      <w:t>[Insert Region Number]</w:t>
    </w:r>
    <w:r>
      <w:tab/>
    </w:r>
  </w:p>
  <w:p>
    <w:pPr>
      <w:pBdr>
        <w:top w:val="single" w:sz="4" w:space="0" w:shadow="0" w:frame="0"/>
      </w:pBdr>
      <w:tabs>
        <w:tab w:val="left" w:pos="-1440" w:leader="none"/>
        <w:tab w:val="left" w:pos="-720" w:leader="none"/>
        <w:tab w:val="left" w:pos="0" w:leader="none"/>
        <w:tab w:val="center" w:pos="5220" w:leader="none"/>
        <w:tab w:val="right" w:pos="10350" w:leader="none"/>
      </w:tabs>
    </w:pPr>
    <w:r>
      <w:t>2020-03-31</w:t>
      <w:tab/>
    </w:r>
    <w:r>
      <w:rPr>
        <w:b w:val="1"/>
      </w:rPr>
      <w:t>CONCRETE REINFORCEMENT</w:t>
    </w:r>
    <w:r>
      <w:tab/>
    </w:r>
  </w:p>
  <w:p>
    <w:pPr>
      <w:pBdr>
        <w:top w:val="single" w:sz="4" w:space="0" w:shadow="0" w:frame="0"/>
      </w:pBdr>
      <w:tabs>
        <w:tab w:val="center" w:pos="5175" w:leader="none"/>
        <w:tab w:val="right" w:pos="1035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2018)]</w:t>
    </w:r>
    <w:r>
      <w:t xml:space="preserve"> </w:t>
    </w:r>
  </w:p>
  <w:p>
    <w:pPr>
      <w:pStyle w:val="P8"/>
    </w:pPr>
  </w:p>
</w:hdr>
</file>

<file path=word/numbering.xml><?xml version="1.0" encoding="utf-8"?>
<w:numbering xmlns:w="http://schemas.openxmlformats.org/wordprocessingml/2006/main">
  <w:abstractNum w:abstractNumId="0">
    <w:nsid w:val="FFFFFF89"/>
    <w:multiLevelType w:val="hybridMultilevel"/>
    <w:lvl w:ilvl="0" w:tplc="171161A7">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46783BE1"/>
    <w:multiLevelType w:val="hybridMultilevel"/>
    <w:lvl w:ilvl="0" w:tplc="1D3AA1D9">
      <w:start w:val="1"/>
      <w:numFmt w:val="bullet"/>
      <w:suff w:val="tab"/>
      <w:lvlText w:val=""/>
      <w:lvlJc w:val="left"/>
      <w:pPr>
        <w:ind w:hanging="360" w:left="720"/>
        <w:tabs>
          <w:tab w:val="left" w:pos="720" w:leader="none"/>
        </w:tabs>
      </w:pPr>
      <w:rPr>
        <w:rFonts w:ascii="Symbol" w:hAnsi="Symbol"/>
      </w:rPr>
    </w:lvl>
    <w:lvl w:ilvl="1" w:tplc="2D012DF2">
      <w:start w:val="1"/>
      <w:numFmt w:val="bullet"/>
      <w:suff w:val="tab"/>
      <w:lvlText w:val="o"/>
      <w:lvlJc w:val="left"/>
      <w:pPr>
        <w:ind w:hanging="360" w:left="1440"/>
        <w:tabs>
          <w:tab w:val="left" w:pos="1440" w:leader="none"/>
        </w:tabs>
      </w:pPr>
      <w:rPr>
        <w:rFonts w:ascii="Courier New" w:hAnsi="Courier New"/>
      </w:rPr>
    </w:lvl>
    <w:lvl w:ilvl="2" w:tplc="11C82B0C">
      <w:start w:val="1"/>
      <w:numFmt w:val="bullet"/>
      <w:suff w:val="tab"/>
      <w:lvlText w:val=""/>
      <w:lvlJc w:val="left"/>
      <w:pPr>
        <w:ind w:hanging="360" w:left="2160"/>
        <w:tabs>
          <w:tab w:val="left" w:pos="2160" w:leader="none"/>
        </w:tabs>
      </w:pPr>
      <w:rPr>
        <w:rFonts w:ascii="Wingdings" w:hAnsi="Wingdings"/>
      </w:rPr>
    </w:lvl>
    <w:lvl w:ilvl="3" w:tplc="5E90C00A">
      <w:start w:val="1"/>
      <w:numFmt w:val="bullet"/>
      <w:suff w:val="tab"/>
      <w:lvlText w:val=""/>
      <w:lvlJc w:val="left"/>
      <w:pPr>
        <w:ind w:hanging="360" w:left="2880"/>
        <w:tabs>
          <w:tab w:val="left" w:pos="2880" w:leader="none"/>
        </w:tabs>
      </w:pPr>
      <w:rPr>
        <w:rFonts w:ascii="Symbol" w:hAnsi="Symbol"/>
      </w:rPr>
    </w:lvl>
    <w:lvl w:ilvl="4" w:tplc="01C4095A">
      <w:start w:val="1"/>
      <w:numFmt w:val="bullet"/>
      <w:suff w:val="tab"/>
      <w:lvlText w:val="o"/>
      <w:lvlJc w:val="left"/>
      <w:pPr>
        <w:ind w:hanging="360" w:left="3600"/>
        <w:tabs>
          <w:tab w:val="left" w:pos="3600" w:leader="none"/>
        </w:tabs>
      </w:pPr>
      <w:rPr>
        <w:rFonts w:ascii="Courier New" w:hAnsi="Courier New"/>
      </w:rPr>
    </w:lvl>
    <w:lvl w:ilvl="5" w:tplc="610ECABA">
      <w:start w:val="1"/>
      <w:numFmt w:val="bullet"/>
      <w:suff w:val="tab"/>
      <w:lvlText w:val=""/>
      <w:lvlJc w:val="left"/>
      <w:pPr>
        <w:ind w:hanging="360" w:left="4320"/>
        <w:tabs>
          <w:tab w:val="left" w:pos="4320" w:leader="none"/>
        </w:tabs>
      </w:pPr>
      <w:rPr>
        <w:rFonts w:ascii="Wingdings" w:hAnsi="Wingdings"/>
      </w:rPr>
    </w:lvl>
    <w:lvl w:ilvl="6" w:tplc="7802C2D9">
      <w:start w:val="1"/>
      <w:numFmt w:val="bullet"/>
      <w:suff w:val="tab"/>
      <w:lvlText w:val=""/>
      <w:lvlJc w:val="left"/>
      <w:pPr>
        <w:ind w:hanging="360" w:left="5040"/>
        <w:tabs>
          <w:tab w:val="left" w:pos="5040" w:leader="none"/>
        </w:tabs>
      </w:pPr>
      <w:rPr>
        <w:rFonts w:ascii="Symbol" w:hAnsi="Symbol"/>
      </w:rPr>
    </w:lvl>
    <w:lvl w:ilvl="7" w:tplc="5EDB9706">
      <w:start w:val="1"/>
      <w:numFmt w:val="bullet"/>
      <w:suff w:val="tab"/>
      <w:lvlText w:val="o"/>
      <w:lvlJc w:val="left"/>
      <w:pPr>
        <w:ind w:hanging="360" w:left="5760"/>
        <w:tabs>
          <w:tab w:val="left" w:pos="5760" w:leader="none"/>
        </w:tabs>
      </w:pPr>
      <w:rPr>
        <w:rFonts w:ascii="Courier New" w:hAnsi="Courier New"/>
      </w:rPr>
    </w:lvl>
    <w:lvl w:ilvl="8" w:tplc="01FC35DE">
      <w:start w:val="1"/>
      <w:numFmt w:val="bullet"/>
      <w:suff w:val="tab"/>
      <w:lvlText w:val=""/>
      <w:lvlJc w:val="left"/>
      <w:pPr>
        <w:ind w:hanging="360" w:left="6480"/>
        <w:tabs>
          <w:tab w:val="left" w:pos="6480" w:leader="none"/>
        </w:tabs>
      </w:pPr>
      <w:rPr>
        <w:rFonts w:ascii="Wingdings" w:hAnsi="Wingdings"/>
      </w:rPr>
    </w:lvl>
  </w:abstractNum>
  <w:abstractNum w:abstractNumId="8">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0">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9"/>
  </w:num>
  <w:num w:numId="6">
    <w:abstractNumId w:val="2"/>
  </w:num>
  <w:num w:numId="7">
    <w:abstractNumId w:val="5"/>
  </w:num>
  <w:num w:numId="8">
    <w:abstractNumId w:val="1"/>
  </w:num>
  <w:num w:numId="9">
    <w:abstractNumId w:val="10"/>
  </w:num>
  <w:num w:numId="10">
    <w:abstractNumId w:val="4"/>
  </w:num>
  <w:num w:numId="11">
    <w:abstractNumId w:val="7"/>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 w:numId="29">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sz w:val="22"/>
    </w:rPr>
  </w:style>
  <w:style w:type="paragraph" w:styleId="P2">
    <w:name w:val="Body Text"/>
    <w:basedOn w:val="P0"/>
    <w:next w:val="P2"/>
    <w:pPr>
      <w:spacing w:after="160"/>
    </w:pPr>
    <w:rPr>
      <w:rFonts w:ascii="Book Antiqua" w:hAnsi="Book Antiqua"/>
      <w:sz w:val="22"/>
    </w:rPr>
  </w:style>
  <w:style w:type="paragraph" w:styleId="P3">
    <w:name w:val="Comment Text"/>
    <w:basedOn w:val="P0"/>
    <w:next w:val="P3"/>
    <w:pPr>
      <w:spacing w:before="120"/>
    </w:pPr>
    <w:rPr>
      <w:rFonts w:ascii="Arial" w:hAnsi="Arial"/>
    </w:rPr>
  </w:style>
  <w:style w:type="paragraph" w:styleId="P4">
    <w:name w:val="Divider"/>
    <w:basedOn w:val="P0"/>
    <w:next w:val="P6"/>
    <w:pPr>
      <w:pBdr>
        <w:bottom w:val="single" w:sz="6" w:space="0" w:shadow="0" w:frame="0"/>
      </w:pBdr>
      <w:spacing w:before="10800"/>
      <w:jc w:val="right"/>
    </w:pPr>
    <w:rPr>
      <w:b w:val="1"/>
      <w:sz w:val="40"/>
    </w:rPr>
  </w:style>
  <w:style w:type="paragraph" w:styleId="P5">
    <w:name w:val="Main-Head"/>
    <w:basedOn w:val="P0"/>
    <w:next w:val="P2"/>
    <w:link w:val="C6"/>
    <w:pPr/>
    <w:rPr>
      <w:rFonts w:ascii="Arial Narrow" w:hAnsi="Arial Narrow"/>
      <w:b w:val="1"/>
      <w:sz w:val="22"/>
    </w:rPr>
  </w:style>
  <w:style w:type="paragraph" w:styleId="P6">
    <w:name w:val="Block Text"/>
    <w:basedOn w:val="P0"/>
    <w:next w:val="P6"/>
    <w:pPr>
      <w:spacing w:after="120"/>
      <w:ind w:left="1440" w:right="1440"/>
    </w:pPr>
    <w:rPr/>
  </w:style>
  <w:style w:type="paragraph" w:styleId="P7">
    <w:name w:val="Footer"/>
    <w:basedOn w:val="P0"/>
    <w:next w:val="P7"/>
    <w:pPr>
      <w:tabs>
        <w:tab w:val="right" w:pos="9000" w:leader="none"/>
      </w:tabs>
    </w:pPr>
    <w:rPr>
      <w:rFonts w:ascii="Arial Narrow" w:hAnsi="Arial Narrow"/>
      <w:caps w:val="1"/>
      <w:sz w:val="14"/>
    </w:rPr>
  </w:style>
  <w:style w:type="paragraph" w:styleId="P8">
    <w:name w:val="Header"/>
    <w:basedOn w:val="P0"/>
    <w:next w:val="P8"/>
    <w:pPr>
      <w:pBdr>
        <w:bottom w:val="single" w:sz="6" w:space="0" w:shadow="0" w:frame="0"/>
      </w:pBdr>
      <w:jc w:val="right"/>
    </w:pPr>
    <w:rPr>
      <w:rFonts w:ascii="Arial Narrow" w:hAnsi="Arial Narrow"/>
      <w:caps w:val="1"/>
      <w:sz w:val="14"/>
    </w:rPr>
  </w:style>
  <w:style w:type="paragraph" w:styleId="P9">
    <w:name w:val="Normal Indent"/>
    <w:basedOn w:val="P0"/>
    <w:next w:val="P9"/>
    <w:pPr>
      <w:ind w:left="360"/>
    </w:pPr>
    <w:rPr/>
  </w:style>
  <w:style w:type="paragraph" w:styleId="P10">
    <w:name w:val="Table Head"/>
    <w:basedOn w:val="P0"/>
    <w:next w:val="P0"/>
    <w:pPr>
      <w:spacing w:before="80" w:after="80"/>
      <w:jc w:val="center"/>
    </w:pPr>
    <w:rPr>
      <w:rFonts w:ascii="Arial" w:hAnsi="Arial"/>
      <w:b w:val="1"/>
      <w:sz w:val="18"/>
    </w:rPr>
  </w:style>
  <w:style w:type="paragraph" w:styleId="P11">
    <w:name w:val="Title"/>
    <w:basedOn w:val="P0"/>
    <w:next w:val="P11"/>
    <w:link w:val="C17"/>
    <w:qFormat/>
    <w:pPr>
      <w:keepNext w:val="1"/>
      <w:spacing w:before="160" w:after="30"/>
    </w:pPr>
    <w:rPr>
      <w:rFonts w:ascii="Arial Narrow" w:hAnsi="Arial Narrow"/>
      <w:b w:val="1"/>
    </w:rPr>
  </w:style>
  <w:style w:type="paragraph" w:styleId="P12">
    <w:name w:val="TOC 5"/>
    <w:basedOn w:val="P0"/>
    <w:next w:val="P0"/>
    <w:pPr>
      <w:ind w:left="880"/>
    </w:pPr>
    <w:rPr/>
  </w:style>
  <w:style w:type="paragraph" w:styleId="P13">
    <w:name w:val="Flysheet"/>
    <w:basedOn w:val="P0"/>
    <w:next w:val="P13"/>
    <w:pPr>
      <w:jc w:val="right"/>
    </w:pPr>
    <w:rPr>
      <w:rFonts w:ascii="Arial Narrow" w:hAnsi="Arial Narrow"/>
      <w:b w:val="1"/>
      <w:sz w:val="28"/>
    </w:rPr>
  </w:style>
  <w:style w:type="paragraph" w:styleId="P14">
    <w:name w:val="Flysheet Cont"/>
    <w:basedOn w:val="P0"/>
    <w:next w:val="P14"/>
    <w:pPr>
      <w:spacing w:before="9720"/>
      <w:jc w:val="right"/>
    </w:pPr>
    <w:rPr>
      <w:rFonts w:ascii="Arial Narrow" w:hAnsi="Arial Narrow"/>
      <w:b w:val="1"/>
      <w:sz w:val="28"/>
    </w:rPr>
  </w:style>
  <w:style w:type="paragraph" w:styleId="P15">
    <w:name w:val="Flysheet Title"/>
    <w:basedOn w:val="P0"/>
    <w:next w:val="P15"/>
    <w:pPr>
      <w:spacing w:before="9720"/>
      <w:jc w:val="right"/>
    </w:pPr>
    <w:rPr>
      <w:rFonts w:ascii="Arial Narrow" w:hAnsi="Arial Narrow"/>
      <w:b w:val="1"/>
      <w:sz w:val="28"/>
    </w:rPr>
  </w:style>
  <w:style w:type="paragraph" w:styleId="P16">
    <w:name w:val="Table Flysheet"/>
    <w:basedOn w:val="P0"/>
    <w:next w:val="P16"/>
    <w:pPr>
      <w:jc w:val="right"/>
    </w:pPr>
    <w:rPr>
      <w:rFonts w:ascii="Arial Narrow" w:hAnsi="Arial Narrow"/>
      <w:b w:val="1"/>
      <w:sz w:val="28"/>
    </w:rPr>
  </w:style>
  <w:style w:type="paragraph" w:styleId="P17">
    <w:name w:val="Table Flysheet Cont"/>
    <w:basedOn w:val="P0"/>
    <w:next w:val="P17"/>
    <w:pPr>
      <w:spacing w:before="9720"/>
      <w:jc w:val="right"/>
    </w:pPr>
    <w:rPr>
      <w:rFonts w:ascii="Arial Narrow" w:hAnsi="Arial Narrow"/>
      <w:b w:val="1"/>
      <w:sz w:val="28"/>
    </w:rPr>
  </w:style>
  <w:style w:type="paragraph" w:styleId="P18">
    <w:name w:val="Table Flysheet Title"/>
    <w:basedOn w:val="P0"/>
    <w:next w:val="P18"/>
    <w:pPr>
      <w:spacing w:before="9720"/>
      <w:jc w:val="right"/>
    </w:pPr>
    <w:rPr>
      <w:rFonts w:ascii="Arial Narrow" w:hAnsi="Arial Narrow"/>
      <w:b w:val="1"/>
      <w:sz w:val="28"/>
    </w:rPr>
  </w:style>
  <w:style w:type="paragraph" w:styleId="P19">
    <w:name w:val="Other"/>
    <w:basedOn w:val="P0"/>
    <w:next w:val="P19"/>
    <w:pPr>
      <w:widowControl w:val="0"/>
    </w:pPr>
    <w:rPr>
      <w:rFonts w:ascii="Courier New" w:hAnsi="Courier New"/>
      <w:sz w:val="24"/>
    </w:rPr>
  </w:style>
  <w:style w:type="paragraph" w:styleId="P20">
    <w:name w:val="Normal Table Text"/>
    <w:basedOn w:val="P0"/>
    <w:next w:val="P20"/>
    <w:pPr>
      <w:widowControl w:val="0"/>
      <w:spacing w:before="60" w:after="60"/>
    </w:pPr>
    <w:rPr>
      <w:rFonts w:ascii="Arial" w:hAnsi="Arial"/>
      <w:sz w:val="20"/>
    </w:rPr>
  </w:style>
  <w:style w:type="paragraph" w:styleId="P21">
    <w:name w:val="Table Heading"/>
    <w:basedOn w:val="P0"/>
    <w:next w:val="P21"/>
    <w:pPr>
      <w:widowControl w:val="0"/>
      <w:spacing w:before="60" w:after="60"/>
    </w:pPr>
    <w:rPr>
      <w:rFonts w:ascii="Arial" w:hAnsi="Arial"/>
      <w:b w:val="1"/>
      <w:sz w:val="20"/>
    </w:rPr>
  </w:style>
  <w:style w:type="paragraph" w:styleId="P22">
    <w:name w:val="Balloon Text"/>
    <w:basedOn w:val="P0"/>
    <w:next w:val="P22"/>
    <w:pPr/>
    <w:rPr>
      <w:rFonts w:ascii="Tahoma" w:hAnsi="Tahoma"/>
      <w:sz w:val="16"/>
    </w:rPr>
  </w:style>
  <w:style w:type="paragraph" w:styleId="P23">
    <w:name w:val="List Paragraph"/>
    <w:basedOn w:val="P0"/>
    <w:next w:val="P23"/>
    <w:qFormat/>
    <w:pPr>
      <w:ind w:left="720"/>
      <w:contextualSpacing w:val="1"/>
    </w:pPr>
    <w:rPr/>
  </w:style>
  <w:style w:type="paragraph" w:styleId="P24">
    <w:name w:val="Plain Text"/>
    <w:basedOn w:val="P0"/>
    <w:next w:val="P24"/>
    <w:link w:val="C19"/>
    <w:pPr/>
    <w:rPr>
      <w:rFonts w:ascii="Courier New" w:hAnsi="Courier New"/>
      <w:sz w:val="20"/>
    </w:rPr>
  </w:style>
  <w:style w:type="paragraph" w:styleId="P25">
    <w:name w:val="Bullet"/>
    <w:basedOn w:val="P2"/>
    <w:next w:val="P2"/>
    <w:pPr/>
    <w:rPr/>
  </w:style>
  <w:style w:type="paragraph" w:styleId="P26">
    <w:name w:val="CSA"/>
    <w:basedOn w:val="P2"/>
    <w:next w:val="P36"/>
    <w:pPr>
      <w:keepNext w:val="1"/>
      <w:spacing w:after="0"/>
    </w:pPr>
    <w:rPr>
      <w:b w:val="1"/>
      <w:caps w:val="1"/>
      <w:sz w:val="20"/>
    </w:rPr>
  </w:style>
  <w:style w:type="paragraph" w:styleId="P27">
    <w:name w:val="Footnote Text"/>
    <w:basedOn w:val="P2"/>
    <w:next w:val="P27"/>
    <w:pPr>
      <w:spacing w:after="0"/>
    </w:pPr>
    <w:rPr>
      <w:rFonts w:ascii="Arial" w:hAnsi="Arial"/>
      <w:sz w:val="16"/>
    </w:rPr>
  </w:style>
  <w:style w:type="paragraph" w:styleId="P28">
    <w:name w:val="Number"/>
    <w:basedOn w:val="P2"/>
    <w:next w:val="P2"/>
    <w:pPr>
      <w:spacing w:after="0"/>
      <w:ind w:hanging="360" w:left="360"/>
    </w:pPr>
    <w:rPr/>
  </w:style>
  <w:style w:type="paragraph" w:styleId="P29">
    <w:name w:val="Tick"/>
    <w:basedOn w:val="P2"/>
    <w:next w:val="P2"/>
    <w:pPr>
      <w:spacing w:after="0"/>
      <w:ind w:hanging="360" w:left="720"/>
    </w:pPr>
    <w:rPr/>
  </w:style>
  <w:style w:type="paragraph" w:styleId="P30">
    <w:name w:val="TOC 1"/>
    <w:basedOn w:val="P2"/>
    <w:next w:val="P42"/>
    <w:pPr>
      <w:tabs>
        <w:tab w:val="right" w:pos="8640" w:leader="dot"/>
      </w:tabs>
      <w:spacing w:after="0"/>
    </w:pPr>
    <w:rPr>
      <w:b w:val="1"/>
    </w:rPr>
  </w:style>
  <w:style w:type="paragraph" w:styleId="P31">
    <w:name w:val="Body Text + Arial"/>
    <w:aliases w:val="Underline"/>
    <w:basedOn w:val="P2"/>
    <w:next w:val="P31"/>
    <w:pPr/>
    <w:rPr/>
  </w:style>
  <w:style w:type="paragraph" w:styleId="P32">
    <w:name w:val="Comment Subject"/>
    <w:basedOn w:val="P3"/>
    <w:next w:val="P3"/>
    <w:pPr>
      <w:spacing w:before="0"/>
    </w:pPr>
    <w:rPr>
      <w:rFonts w:ascii="Book Antiqua" w:hAnsi="Book Antiqua"/>
      <w:b w:val="1"/>
      <w:sz w:val="20"/>
    </w:rPr>
  </w:style>
  <w:style w:type="paragraph" w:styleId="P33">
    <w:name w:val="Caption"/>
    <w:basedOn w:val="P5"/>
    <w:next w:val="P0"/>
    <w:pPr>
      <w:keepNext w:val="1"/>
      <w:spacing w:after="240"/>
    </w:pPr>
    <w:rPr>
      <w:b w:val="0"/>
      <w:i w:val="1"/>
      <w:sz w:val="20"/>
    </w:rPr>
  </w:style>
  <w:style w:type="paragraph" w:styleId="P34">
    <w:name w:val="Exhibit--Number"/>
    <w:basedOn w:val="P5"/>
    <w:next w:val="P43"/>
    <w:pPr>
      <w:spacing w:before="160"/>
    </w:pPr>
    <w:rPr>
      <w:caps w:val="1"/>
      <w:sz w:val="18"/>
    </w:rPr>
  </w:style>
  <w:style w:type="paragraph" w:styleId="P35">
    <w:name w:val="Table Body"/>
    <w:basedOn w:val="P10"/>
    <w:next w:val="P35"/>
    <w:pPr>
      <w:jc w:val="left"/>
    </w:pPr>
    <w:rPr>
      <w:b w:val="0"/>
    </w:rPr>
  </w:style>
  <w:style w:type="paragraph" w:styleId="P36">
    <w:name w:val="Heading 1"/>
    <w:aliases w:val="Contents - level1 Char"/>
    <w:basedOn w:val="P23"/>
    <w:next w:val="P36"/>
    <w:link w:val="C9"/>
    <w:qFormat/>
    <w:pPr>
      <w:numPr>
        <w:numId w:val="29"/>
      </w:numPr>
      <w:outlineLvl w:val="0"/>
    </w:pPr>
    <w:rPr/>
  </w:style>
  <w:style w:type="paragraph" w:styleId="P37">
    <w:name w:val="Heading 2"/>
    <w:basedOn w:val="P23"/>
    <w:next w:val="P0"/>
    <w:link w:val="C10"/>
    <w:qFormat/>
    <w:pPr>
      <w:numPr>
        <w:ilvl w:val="1"/>
        <w:numId w:val="29"/>
      </w:numPr>
      <w:spacing w:before="80"/>
      <w:outlineLvl w:val="1"/>
    </w:pPr>
    <w:rPr/>
  </w:style>
  <w:style w:type="paragraph" w:styleId="P38">
    <w:name w:val="Heading 3"/>
    <w:basedOn w:val="P23"/>
    <w:next w:val="P38"/>
    <w:link w:val="C7"/>
    <w:qFormat/>
    <w:pPr>
      <w:numPr>
        <w:ilvl w:val="2"/>
        <w:numId w:val="29"/>
      </w:numPr>
      <w:outlineLvl w:val="2"/>
    </w:pPr>
    <w:rPr/>
  </w:style>
  <w:style w:type="paragraph" w:styleId="P39">
    <w:name w:val="Heading 4"/>
    <w:basedOn w:val="P23"/>
    <w:next w:val="P39"/>
    <w:link w:val="C11"/>
    <w:qFormat/>
    <w:pPr>
      <w:numPr>
        <w:ilvl w:val="3"/>
        <w:numId w:val="29"/>
      </w:numPr>
      <w:outlineLvl w:val="3"/>
    </w:pPr>
    <w:rPr/>
  </w:style>
  <w:style w:type="paragraph" w:styleId="P40">
    <w:name w:val="Heading 7"/>
    <w:basedOn w:val="P23"/>
    <w:next w:val="P0"/>
    <w:link w:val="C14"/>
    <w:qFormat/>
    <w:pPr>
      <w:numPr>
        <w:ilvl w:val="6"/>
        <w:numId w:val="29"/>
      </w:numPr>
      <w:outlineLvl w:val="6"/>
    </w:pPr>
    <w:rPr/>
  </w:style>
  <w:style w:type="paragraph" w:styleId="P41">
    <w:name w:val="List Bullet"/>
    <w:basedOn w:val="P25"/>
    <w:next w:val="P41"/>
    <w:pPr>
      <w:numPr>
        <w:numId w:val="2"/>
      </w:numPr>
    </w:pPr>
    <w:rPr/>
  </w:style>
  <w:style w:type="paragraph" w:styleId="P42">
    <w:name w:val="TOC 2"/>
    <w:basedOn w:val="P30"/>
    <w:next w:val="P50"/>
    <w:pPr>
      <w:tabs>
        <w:tab w:val="left" w:pos="1008" w:leader="none"/>
      </w:tabs>
      <w:ind w:left="720"/>
    </w:pPr>
    <w:rPr>
      <w:b w:val="0"/>
    </w:rPr>
  </w:style>
  <w:style w:type="paragraph" w:styleId="P43">
    <w:name w:val="Exhibit--Title"/>
    <w:basedOn w:val="P34"/>
    <w:next w:val="P51"/>
    <w:pPr>
      <w:spacing w:before="0"/>
    </w:pPr>
    <w:rPr>
      <w:b w:val="1"/>
      <w:caps w:val="0"/>
      <w:sz w:val="20"/>
    </w:rPr>
  </w:style>
  <w:style w:type="paragraph" w:styleId="P44">
    <w:name w:val="Table Notes"/>
    <w:basedOn w:val="P35"/>
    <w:next w:val="P44"/>
    <w:pPr>
      <w:spacing w:after="320"/>
    </w:pPr>
    <w:rPr/>
  </w:style>
  <w:style w:type="paragraph" w:styleId="P45">
    <w:name w:val="Contents"/>
    <w:basedOn w:val="P36"/>
    <w:next w:val="P2"/>
    <w:pPr/>
    <w:rPr/>
  </w:style>
  <w:style w:type="paragraph" w:styleId="P46">
    <w:name w:val="Style Heading 3 + Pattern: Clear (Gray-15%)"/>
    <w:basedOn w:val="P38"/>
    <w:next w:val="P46"/>
    <w:pPr/>
    <w:rPr/>
  </w:style>
  <w:style w:type="paragraph" w:styleId="P47">
    <w:name w:val="Heading 5"/>
    <w:basedOn w:val="P39"/>
    <w:next w:val="P47"/>
    <w:link w:val="C12"/>
    <w:qFormat/>
    <w:pPr>
      <w:numPr>
        <w:ilvl w:val="4"/>
        <w:numId w:val="29"/>
      </w:numPr>
      <w:outlineLvl w:val="4"/>
    </w:pPr>
    <w:rPr/>
  </w:style>
  <w:style w:type="paragraph" w:styleId="P48">
    <w:name w:val="Style Heading 4 + Pattern: Clear (Gray-15%)"/>
    <w:basedOn w:val="P39"/>
    <w:next w:val="P48"/>
    <w:pPr/>
    <w:rPr/>
  </w:style>
  <w:style w:type="paragraph" w:styleId="P49">
    <w:name w:val="Heading 8"/>
    <w:basedOn w:val="P40"/>
    <w:next w:val="P0"/>
    <w:link w:val="C15"/>
    <w:qFormat/>
    <w:pPr>
      <w:numPr>
        <w:ilvl w:val="7"/>
        <w:numId w:val="29"/>
      </w:numPr>
      <w:outlineLvl w:val="7"/>
    </w:pPr>
    <w:rPr/>
  </w:style>
  <w:style w:type="paragraph" w:styleId="P50">
    <w:name w:val="TOC 3"/>
    <w:basedOn w:val="P42"/>
    <w:next w:val="P50"/>
    <w:pPr>
      <w:tabs>
        <w:tab w:val="clear" w:pos="1008" w:leader="none"/>
        <w:tab w:val="left" w:pos="1728" w:leader="none"/>
      </w:tabs>
      <w:ind w:left="1440"/>
    </w:pPr>
    <w:rPr/>
  </w:style>
  <w:style w:type="paragraph" w:styleId="P51">
    <w:name w:val="Exhibit--Caption"/>
    <w:basedOn w:val="P43"/>
    <w:next w:val="P2"/>
    <w:pPr/>
    <w:rPr>
      <w:i w:val="1"/>
    </w:rPr>
  </w:style>
  <w:style w:type="paragraph" w:styleId="P52">
    <w:name w:val="Heading 6"/>
    <w:basedOn w:val="P47"/>
    <w:next w:val="P0"/>
    <w:link w:val="C13"/>
    <w:qFormat/>
    <w:pPr>
      <w:numPr>
        <w:ilvl w:val="5"/>
        <w:numId w:val="29"/>
      </w:numPr>
      <w:outlineLvl w:val="5"/>
    </w:pPr>
    <w:rPr/>
  </w:style>
  <w:style w:type="paragraph" w:styleId="P53">
    <w:name w:val="Heading 9"/>
    <w:basedOn w:val="P49"/>
    <w:next w:val="P0"/>
    <w:link w:val="C16"/>
    <w:qFormat/>
    <w:pPr>
      <w:numPr>
        <w:ilvl w:val="8"/>
        <w:numId w:val="27"/>
      </w:numPr>
      <w:outlineLvl w:val="8"/>
    </w:pPr>
    <w:rPr/>
  </w:style>
  <w:style w:type="paragraph" w:styleId="P54">
    <w:name w:val="TOC 4"/>
    <w:basedOn w:val="P50"/>
    <w:next w:val="P12"/>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5"/>
    <w:rPr>
      <w:rFonts w:ascii="Arial Narrow" w:hAnsi="Arial Narrow"/>
      <w:b w:val="1"/>
      <w:sz w:val="22"/>
    </w:rPr>
  </w:style>
  <w:style w:type="character" w:styleId="C7">
    <w:name w:val="Heading 3 Char"/>
    <w:link w:val="P38"/>
    <w:rPr/>
  </w:style>
  <w:style w:type="character" w:styleId="C8">
    <w:name w:val=" Char Char"/>
    <w:rPr>
      <w:rFonts w:ascii="Arial" w:hAnsi="Arial"/>
      <w:b w:val="1"/>
      <w:sz w:val="22"/>
    </w:rPr>
  </w:style>
  <w:style w:type="character" w:styleId="C9">
    <w:name w:val="Heading 1 Char"/>
    <w:link w:val="P36"/>
    <w:rPr/>
  </w:style>
  <w:style w:type="character" w:styleId="C10">
    <w:name w:val="Heading 2 Char"/>
    <w:link w:val="P37"/>
    <w:rPr/>
  </w:style>
  <w:style w:type="character" w:styleId="C11">
    <w:name w:val="Heading 4 Char"/>
    <w:link w:val="P39"/>
    <w:rPr/>
  </w:style>
  <w:style w:type="character" w:styleId="C12">
    <w:name w:val="Heading 5 Char"/>
    <w:link w:val="P47"/>
    <w:rPr/>
  </w:style>
  <w:style w:type="character" w:styleId="C13">
    <w:name w:val="Heading 6 Char"/>
    <w:link w:val="P52"/>
    <w:rPr/>
  </w:style>
  <w:style w:type="character" w:styleId="C14">
    <w:name w:val="Heading 7 Char"/>
    <w:link w:val="P40"/>
    <w:rPr/>
  </w:style>
  <w:style w:type="character" w:styleId="C15">
    <w:name w:val="Heading 8 Char"/>
    <w:link w:val="P49"/>
    <w:rPr/>
  </w:style>
  <w:style w:type="character" w:styleId="C16">
    <w:name w:val="Heading 9 Char"/>
    <w:link w:val="P53"/>
    <w:rPr/>
  </w:style>
  <w:style w:type="character" w:styleId="C17">
    <w:name w:val="Title Char"/>
    <w:link w:val="P11"/>
    <w:rPr>
      <w:rFonts w:ascii="Arial Narrow" w:hAnsi="Arial Narrow"/>
      <w:b w:val="1"/>
    </w:rPr>
  </w:style>
  <w:style w:type="character" w:styleId="C18">
    <w:name w:val="Strong"/>
    <w:qFormat/>
    <w:rPr>
      <w:b w:val="1"/>
    </w:rPr>
  </w:style>
  <w:style w:type="character" w:styleId="C19">
    <w:name w:val="Plain Text Char"/>
    <w:link w:val="P24"/>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Andrea Adley-McGinnis</dc:creator>
  <dcterms:created xsi:type="dcterms:W3CDTF">2015-09-16T17:43:00Z</dcterms:created>
  <cp:lastModifiedBy>Ray</cp:lastModifiedBy>
  <cp:lastPrinted>2006-08-29T19:50:00Z</cp:lastPrinted>
  <dcterms:modified xsi:type="dcterms:W3CDTF">2022-10-04T19:38:51Z</dcterms:modified>
  <cp:revision>24</cp:revision>
  <dc:title>03200_Concrete_Reinforcement (Sep 16,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2020-03-31T00:00:00Z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03 - Concrete/03200 Concrete Reinforcement.DOC</vt:lpwstr>
  </property>
  <property fmtid="{D5CDD505-2E9C-101B-9397-08002B2CF9AE}" pid="7" name="Order">
    <vt:lpwstr>223600.000000000</vt:lpwstr>
  </property>
  <property fmtid="{D5CDD505-2E9C-101B-9397-08002B2CF9AE}" pid="8" name="Sort Order">
    <vt:lpwstr/>
  </property>
  <property fmtid="{D5CDD505-2E9C-101B-9397-08002B2CF9AE}" pid="9" name="IconOverlay">
    <vt:lpwstr/>
  </property>
  <property fmtid="{D5CDD505-2E9C-101B-9397-08002B2CF9AE}" pid="10" name="Document Type">
    <vt:lpwstr/>
  </property>
</Properties>
</file>