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8CB834D" Type="http://schemas.openxmlformats.org/officeDocument/2006/relationships/officeDocument" Target="/word/document.xml" /><Relationship Id="coreR78CB834D" Type="http://schemas.openxmlformats.org/package/2006/relationships/metadata/core-properties" Target="/docProps/core.xml" /><Relationship Id="customR78CB83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0"/>
              <w:rPr>
                <w:rFonts w:ascii="Calibri" w:hAnsi="Calibri"/>
                <w:sz w:val="22"/>
              </w:rPr>
            </w:pPr>
            <w:r>
              <w:rPr>
                <w:rFonts w:ascii="Calibri" w:hAnsi="Calibri"/>
                <w:sz w:val="22"/>
              </w:rPr>
              <w:t>Version</w:t>
            </w:r>
          </w:p>
        </w:tc>
        <w:tc>
          <w:tcPr>
            <w:tcW w:w="1980" w:type="dxa"/>
          </w:tcPr>
          <w:p>
            <w:pPr>
              <w:pStyle w:val="P20"/>
              <w:rPr>
                <w:rFonts w:ascii="Calibri" w:hAnsi="Calibri"/>
                <w:sz w:val="22"/>
              </w:rPr>
            </w:pPr>
            <w:r>
              <w:rPr>
                <w:rFonts w:ascii="Calibri" w:hAnsi="Calibri"/>
                <w:sz w:val="22"/>
              </w:rPr>
              <w:t>Date</w:t>
            </w:r>
          </w:p>
        </w:tc>
        <w:tc>
          <w:tcPr>
            <w:tcW w:w="5863" w:type="dxa"/>
          </w:tcPr>
          <w:p>
            <w:pPr>
              <w:pStyle w:val="P20"/>
              <w:rPr>
                <w:rFonts w:ascii="Calibri" w:hAnsi="Calibri"/>
                <w:sz w:val="22"/>
              </w:rPr>
            </w:pPr>
            <w:r>
              <w:rPr>
                <w:rFonts w:ascii="Calibri" w:hAnsi="Calibri"/>
                <w:sz w:val="22"/>
              </w:rPr>
              <w:t>Description of Revisions</w:t>
            </w:r>
          </w:p>
        </w:tc>
      </w:tr>
      <w:tr>
        <w:trPr>
          <w:wAfter w:w="0" w:type="dxa"/>
        </w:trPr>
        <w:tc>
          <w:tcPr>
            <w:tcW w:w="1004" w:type="dxa"/>
          </w:tcPr>
          <w:p>
            <w:pPr>
              <w:pStyle w:val="P19"/>
              <w:rPr>
                <w:rFonts w:ascii="Calibri" w:hAnsi="Calibri"/>
                <w:sz w:val="22"/>
              </w:rPr>
            </w:pPr>
            <w:r>
              <w:rPr>
                <w:rFonts w:ascii="Calibri" w:hAnsi="Calibri"/>
                <w:sz w:val="22"/>
              </w:rPr>
              <w:t>1</w:t>
            </w:r>
          </w:p>
        </w:tc>
        <w:tc>
          <w:tcPr>
            <w:tcW w:w="1980" w:type="dxa"/>
          </w:tcPr>
          <w:p>
            <w:pPr>
              <w:pStyle w:val="P19"/>
              <w:rPr>
                <w:rFonts w:ascii="Calibri" w:hAnsi="Calibri"/>
                <w:sz w:val="22"/>
              </w:rPr>
            </w:pPr>
            <w:r>
              <w:rPr>
                <w:rFonts w:ascii="Calibri" w:hAnsi="Calibri"/>
                <w:sz w:val="22"/>
              </w:rPr>
              <w:t>August 30, 2006</w:t>
            </w:r>
          </w:p>
        </w:tc>
        <w:tc>
          <w:tcPr>
            <w:tcW w:w="5863" w:type="dxa"/>
          </w:tcPr>
          <w:p>
            <w:pPr>
              <w:pStyle w:val="P19"/>
              <w:rPr>
                <w:rFonts w:ascii="Calibri" w:hAnsi="Calibri"/>
                <w:sz w:val="22"/>
              </w:rPr>
            </w:pPr>
            <w:r>
              <w:rPr>
                <w:rFonts w:ascii="Calibri" w:hAnsi="Calibri"/>
                <w:sz w:val="22"/>
              </w:rPr>
              <w:t>Approved final document.</w:t>
            </w:r>
          </w:p>
        </w:tc>
      </w:tr>
      <w:tr>
        <w:trPr>
          <w:wAfter w:w="0" w:type="dxa"/>
        </w:trPr>
        <w:tc>
          <w:tcPr>
            <w:tcW w:w="1004" w:type="dxa"/>
          </w:tcPr>
          <w:p>
            <w:pPr>
              <w:pStyle w:val="P19"/>
              <w:rPr>
                <w:rFonts w:ascii="Calibri" w:hAnsi="Calibri"/>
                <w:sz w:val="22"/>
              </w:rPr>
            </w:pPr>
            <w:r>
              <w:rPr>
                <w:rFonts w:ascii="Calibri" w:hAnsi="Calibri"/>
                <w:sz w:val="22"/>
              </w:rPr>
              <w:t>2</w:t>
            </w:r>
          </w:p>
        </w:tc>
        <w:tc>
          <w:tcPr>
            <w:tcW w:w="1980" w:type="dxa"/>
          </w:tcPr>
          <w:p>
            <w:pPr>
              <w:pStyle w:val="P19"/>
              <w:rPr>
                <w:rFonts w:ascii="Calibri" w:hAnsi="Calibri"/>
                <w:sz w:val="22"/>
              </w:rPr>
            </w:pPr>
            <w:r>
              <w:rPr>
                <w:rFonts w:ascii="Calibri" w:hAnsi="Calibri"/>
                <w:sz w:val="22"/>
              </w:rPr>
              <w:t>November 19, 2007</w:t>
            </w:r>
          </w:p>
        </w:tc>
        <w:tc>
          <w:tcPr>
            <w:tcW w:w="5863" w:type="dxa"/>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Pr>
          <w:p>
            <w:pPr>
              <w:pStyle w:val="P19"/>
              <w:rPr>
                <w:rFonts w:ascii="Calibri" w:hAnsi="Calibri"/>
                <w:sz w:val="22"/>
              </w:rPr>
            </w:pPr>
            <w:r>
              <w:rPr>
                <w:rFonts w:ascii="Calibri" w:hAnsi="Calibri"/>
                <w:sz w:val="22"/>
              </w:rPr>
              <w:t>3</w:t>
            </w:r>
          </w:p>
        </w:tc>
        <w:tc>
          <w:tcPr>
            <w:tcW w:w="1980" w:type="dxa"/>
          </w:tcPr>
          <w:p>
            <w:pPr>
              <w:pStyle w:val="P19"/>
              <w:rPr>
                <w:rFonts w:ascii="Calibri" w:hAnsi="Calibri"/>
                <w:sz w:val="22"/>
              </w:rPr>
            </w:pPr>
            <w:r>
              <w:rPr>
                <w:rFonts w:ascii="Calibri" w:hAnsi="Calibri"/>
                <w:sz w:val="22"/>
              </w:rPr>
              <w:t>November 13, 2009</w:t>
            </w:r>
          </w:p>
        </w:tc>
        <w:tc>
          <w:tcPr>
            <w:tcW w:w="5863" w:type="dxa"/>
          </w:tcPr>
          <w:p>
            <w:pPr>
              <w:pStyle w:val="P19"/>
              <w:rPr>
                <w:rFonts w:ascii="Calibri" w:hAnsi="Calibri"/>
                <w:sz w:val="22"/>
              </w:rPr>
            </w:pPr>
            <w:r>
              <w:rPr>
                <w:rFonts w:ascii="Calibri" w:hAnsi="Calibri"/>
                <w:sz w:val="22"/>
              </w:rPr>
              <w:t>Modified ‘Related Section’</w:t>
            </w:r>
          </w:p>
        </w:tc>
      </w:tr>
      <w:tr>
        <w:trPr>
          <w:wAfter w:w="0" w:type="dxa"/>
        </w:trPr>
        <w:tc>
          <w:tcPr>
            <w:tcW w:w="1004" w:type="dxa"/>
          </w:tcPr>
          <w:p>
            <w:pPr>
              <w:pStyle w:val="P19"/>
              <w:rPr>
                <w:rFonts w:ascii="Calibri" w:hAnsi="Calibri"/>
                <w:sz w:val="22"/>
              </w:rPr>
            </w:pPr>
            <w:r>
              <w:rPr>
                <w:rFonts w:ascii="Calibri" w:hAnsi="Calibri"/>
                <w:sz w:val="22"/>
              </w:rPr>
              <w:t>4</w:t>
            </w:r>
          </w:p>
        </w:tc>
        <w:tc>
          <w:tcPr>
            <w:tcW w:w="1980" w:type="dxa"/>
          </w:tcPr>
          <w:p>
            <w:pPr>
              <w:pStyle w:val="P19"/>
              <w:rPr>
                <w:rFonts w:ascii="Calibri" w:hAnsi="Calibri"/>
                <w:sz w:val="22"/>
              </w:rPr>
            </w:pPr>
            <w:r>
              <w:rPr>
                <w:rFonts w:ascii="Calibri" w:hAnsi="Calibri"/>
                <w:sz w:val="22"/>
              </w:rPr>
              <w:t>March 15, 2011</w:t>
            </w:r>
          </w:p>
        </w:tc>
        <w:tc>
          <w:tcPr>
            <w:tcW w:w="5863" w:type="dxa"/>
          </w:tcPr>
          <w:p>
            <w:pPr>
              <w:pStyle w:val="P19"/>
              <w:rPr>
                <w:rFonts w:ascii="Calibri" w:hAnsi="Calibri"/>
                <w:sz w:val="22"/>
              </w:rPr>
            </w:pPr>
            <w:r>
              <w:rPr>
                <w:rFonts w:ascii="Calibri" w:hAnsi="Calibri"/>
                <w:sz w:val="22"/>
              </w:rPr>
              <w:t>Minor changes from Legal</w:t>
            </w:r>
          </w:p>
        </w:tc>
      </w:tr>
      <w:tr>
        <w:trPr>
          <w:wAfter w:w="0" w:type="dxa"/>
        </w:trPr>
        <w:tc>
          <w:tcPr>
            <w:tcW w:w="1004" w:type="dxa"/>
          </w:tcPr>
          <w:p>
            <w:pPr>
              <w:pStyle w:val="P19"/>
              <w:rPr>
                <w:rFonts w:ascii="Calibri" w:hAnsi="Calibri"/>
                <w:sz w:val="22"/>
              </w:rPr>
            </w:pPr>
            <w:r>
              <w:rPr>
                <w:rFonts w:ascii="Calibri" w:hAnsi="Calibri"/>
                <w:sz w:val="22"/>
              </w:rPr>
              <w:t>5</w:t>
            </w:r>
          </w:p>
        </w:tc>
        <w:tc>
          <w:tcPr>
            <w:tcW w:w="1980" w:type="dxa"/>
          </w:tcPr>
          <w:p>
            <w:pPr>
              <w:pStyle w:val="P19"/>
              <w:rPr>
                <w:rFonts w:ascii="Calibri" w:hAnsi="Calibri"/>
                <w:sz w:val="22"/>
              </w:rPr>
            </w:pPr>
            <w:r>
              <w:rPr>
                <w:rFonts w:ascii="Calibri" w:hAnsi="Calibri"/>
                <w:sz w:val="22"/>
              </w:rPr>
              <w:t>June 5, 2012</w:t>
            </w:r>
          </w:p>
        </w:tc>
        <w:tc>
          <w:tcPr>
            <w:tcW w:w="5863" w:type="dxa"/>
          </w:tcPr>
          <w:p>
            <w:pPr>
              <w:pStyle w:val="P19"/>
              <w:rPr>
                <w:rFonts w:ascii="Calibri" w:hAnsi="Calibri"/>
                <w:sz w:val="22"/>
              </w:rPr>
            </w:pPr>
            <w:r>
              <w:rPr>
                <w:rFonts w:ascii="Calibri" w:hAnsi="Calibri"/>
                <w:sz w:val="22"/>
              </w:rPr>
              <w:t>Added References and Replacement Parts Section</w:t>
            </w:r>
          </w:p>
        </w:tc>
      </w:tr>
      <w:tr>
        <w:trPr>
          <w:wAfter w:w="0" w:type="dxa"/>
        </w:trPr>
        <w:tc>
          <w:tcPr>
            <w:tcW w:w="1004" w:type="dxa"/>
          </w:tcPr>
          <w:p>
            <w:pPr>
              <w:pStyle w:val="P19"/>
              <w:rPr>
                <w:rFonts w:ascii="Calibri" w:hAnsi="Calibri"/>
                <w:sz w:val="22"/>
              </w:rPr>
            </w:pPr>
            <w:r>
              <w:rPr>
                <w:rFonts w:ascii="Calibri" w:hAnsi="Calibri"/>
                <w:sz w:val="22"/>
              </w:rPr>
              <w:t>6</w:t>
            </w:r>
          </w:p>
        </w:tc>
        <w:tc>
          <w:tcPr>
            <w:tcW w:w="1980" w:type="dxa"/>
          </w:tcPr>
          <w:p>
            <w:pPr>
              <w:pStyle w:val="P19"/>
              <w:rPr>
                <w:rFonts w:ascii="Calibri" w:hAnsi="Calibri"/>
                <w:sz w:val="22"/>
              </w:rPr>
            </w:pPr>
            <w:r>
              <w:rPr>
                <w:rFonts w:ascii="Calibri" w:hAnsi="Calibri"/>
                <w:sz w:val="22"/>
              </w:rPr>
              <w:t>July 3, 2012</w:t>
            </w:r>
          </w:p>
        </w:tc>
        <w:tc>
          <w:tcPr>
            <w:tcW w:w="5863" w:type="dxa"/>
          </w:tcPr>
          <w:p>
            <w:pPr>
              <w:pStyle w:val="P19"/>
              <w:rPr>
                <w:rFonts w:ascii="Calibri" w:hAnsi="Calibri"/>
                <w:sz w:val="22"/>
              </w:rPr>
            </w:pPr>
            <w:r>
              <w:rPr>
                <w:rFonts w:ascii="Calibri" w:hAnsi="Calibri"/>
                <w:sz w:val="22"/>
              </w:rPr>
              <w:t>Reformatted to Remove White Space</w:t>
            </w:r>
          </w:p>
        </w:tc>
      </w:tr>
      <w:tr>
        <w:trPr>
          <w:wAfter w:w="0" w:type="dxa"/>
        </w:trPr>
        <w:tc>
          <w:tcPr>
            <w:tcW w:w="1004" w:type="dxa"/>
          </w:tcPr>
          <w:p>
            <w:pPr>
              <w:pStyle w:val="P19"/>
              <w:rPr>
                <w:rFonts w:ascii="Calibri" w:hAnsi="Calibri"/>
                <w:sz w:val="22"/>
              </w:rPr>
            </w:pPr>
            <w:r>
              <w:rPr>
                <w:rFonts w:ascii="Calibri" w:hAnsi="Calibri"/>
                <w:sz w:val="22"/>
              </w:rPr>
              <w:t>7</w:t>
            </w:r>
          </w:p>
        </w:tc>
        <w:tc>
          <w:tcPr>
            <w:tcW w:w="1980" w:type="dxa"/>
          </w:tcPr>
          <w:p>
            <w:pPr>
              <w:pStyle w:val="P19"/>
              <w:rPr>
                <w:rFonts w:ascii="Calibri" w:hAnsi="Calibri"/>
                <w:sz w:val="22"/>
              </w:rPr>
            </w:pPr>
            <w:r>
              <w:rPr>
                <w:rFonts w:ascii="Calibri" w:hAnsi="Calibri"/>
                <w:sz w:val="22"/>
              </w:rPr>
              <w:t>April 22, 2015</w:t>
            </w:r>
          </w:p>
        </w:tc>
        <w:tc>
          <w:tcPr>
            <w:tcW w:w="5863" w:type="dxa"/>
          </w:tcPr>
          <w:p>
            <w:pPr>
              <w:pStyle w:val="P19"/>
              <w:rPr>
                <w:rFonts w:ascii="Calibri" w:hAnsi="Calibri"/>
                <w:sz w:val="22"/>
              </w:rPr>
            </w:pPr>
            <w:r>
              <w:rPr>
                <w:rFonts w:ascii="Calibri" w:hAnsi="Calibri"/>
                <w:sz w:val="22"/>
              </w:rPr>
              <w:t>General formatting</w:t>
            </w:r>
          </w:p>
        </w:tc>
      </w:tr>
      <w:tr>
        <w:trPr>
          <w:wAfter w:w="0" w:type="dxa"/>
        </w:trPr>
        <w:tc>
          <w:tcPr>
            <w:tcW w:w="1004" w:type="dxa"/>
          </w:tcPr>
          <w:p>
            <w:pPr>
              <w:pStyle w:val="P19"/>
              <w:rPr>
                <w:rFonts w:ascii="Calibri" w:hAnsi="Calibri"/>
                <w:sz w:val="22"/>
              </w:rPr>
            </w:pPr>
            <w:r>
              <w:rPr>
                <w:rFonts w:ascii="Calibri" w:hAnsi="Calibri"/>
                <w:sz w:val="22"/>
              </w:rPr>
              <w:t>8</w:t>
            </w:r>
          </w:p>
        </w:tc>
        <w:tc>
          <w:tcPr>
            <w:tcW w:w="1980" w:type="dxa"/>
          </w:tcPr>
          <w:p>
            <w:pPr>
              <w:pStyle w:val="P19"/>
              <w:rPr>
                <w:rFonts w:ascii="Calibri" w:hAnsi="Calibri"/>
                <w:sz w:val="22"/>
              </w:rPr>
            </w:pPr>
            <w:r>
              <w:rPr>
                <w:rFonts w:ascii="Calibri" w:hAnsi="Calibri"/>
                <w:sz w:val="22"/>
              </w:rPr>
              <w:t>August 24, 2015</w:t>
            </w:r>
          </w:p>
        </w:tc>
        <w:tc>
          <w:tcPr>
            <w:tcW w:w="5863" w:type="dxa"/>
          </w:tcPr>
          <w:p>
            <w:pPr>
              <w:pStyle w:val="P19"/>
              <w:rPr>
                <w:rFonts w:ascii="Calibri" w:hAnsi="Calibri"/>
                <w:sz w:val="22"/>
              </w:rPr>
            </w:pPr>
            <w:r>
              <w:rPr>
                <w:rFonts w:ascii="Calibri" w:hAnsi="Calibri"/>
                <w:sz w:val="22"/>
              </w:rPr>
              <w:t>First draft review Phase 1 (AV)</w:t>
            </w:r>
          </w:p>
        </w:tc>
      </w:tr>
      <w:tr>
        <w:trPr>
          <w:wAfter w:w="0" w:type="dxa"/>
        </w:trPr>
        <w:tc>
          <w:tcPr>
            <w:tcW w:w="1004" w:type="dxa"/>
          </w:tcPr>
          <w:p>
            <w:pPr>
              <w:rPr>
                <w:b w:val="1"/>
              </w:rPr>
            </w:pPr>
            <w:r>
              <w:rPr>
                <w:b w:val="1"/>
              </w:rPr>
              <w:t>9</w:t>
            </w:r>
          </w:p>
        </w:tc>
        <w:tc>
          <w:tcPr>
            <w:tcW w:w="1980" w:type="dxa"/>
          </w:tcPr>
          <w:p>
            <w:pPr>
              <w:rPr>
                <w:b w:val="1"/>
              </w:rPr>
            </w:pPr>
            <w:r>
              <w:rPr>
                <w:b w:val="1"/>
              </w:rPr>
              <w:t>October 19, 2015</w:t>
            </w:r>
          </w:p>
        </w:tc>
        <w:tc>
          <w:tcPr>
            <w:tcW w:w="5863" w:type="dxa"/>
          </w:tcPr>
          <w:p>
            <w:pPr>
              <w:rPr>
                <w:b w:val="1"/>
              </w:rPr>
            </w:pPr>
            <w:r>
              <w:rPr>
                <w:b w:val="1"/>
              </w:rPr>
              <w:t>Updated, Finalized Specification – Legal Reference eDOCS #6263</w:t>
            </w:r>
            <w:r>
              <w:rPr>
                <w:b w:val="1"/>
              </w:rPr>
              <w:t>2</w:t>
            </w:r>
            <w:r>
              <w:rPr>
                <w:b w:val="1"/>
              </w:rPr>
              <w:t>00</w:t>
            </w:r>
            <w:r>
              <w:rPr>
                <w:b w:val="1"/>
              </w:rPr>
              <w:t xml:space="preserve"> v3 (AV)</w:t>
            </w:r>
          </w:p>
        </w:tc>
      </w:tr>
    </w:tbl>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w:t>
      </w:r>
      <w:r>
        <w:rPr>
          <w:rFonts w:ascii="Calibri" w:hAnsi="Calibri"/>
          <w:b w:val="1"/>
        </w:rPr>
        <w:t>e on</w:t>
      </w:r>
      <w:r>
        <w:rPr>
          <w:rFonts w:ascii="Calibri" w:hAnsi="Calibri"/>
          <w:b w:val="1"/>
        </w:rPr>
        <w:t>-line copy is the current version of the document.</w:t>
      </w:r>
    </w:p>
    <w:p>
      <w:pPr>
        <w:pStyle w:val="P1"/>
        <w:rPr>
          <w:rFonts w:ascii="Calibri" w:hAnsi="Calibri"/>
        </w:rPr>
      </w:pPr>
    </w:p>
    <w:p>
      <w:pPr>
        <w:pStyle w:val="P35"/>
      </w:pPr>
      <w:r>
        <w:br w:type="page"/>
        <w:t>GENERAL</w:t>
      </w:r>
    </w:p>
    <w:p>
      <w:pPr>
        <w:pStyle w:val="P36"/>
      </w:pPr>
      <w:r>
        <w:t>Related Sections</w:t>
      </w:r>
    </w:p>
    <w:p>
      <w:pPr>
        <w:pStyle w:val="P37"/>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w:t>
      </w:r>
      <w:r>
        <w:rPr>
          <w:i w:val="1"/>
          <w:highlight w:val="yellow"/>
        </w:rPr>
        <w:t>ed</w:t>
      </w:r>
      <w:r>
        <w:rPr>
          <w:i w:val="1"/>
          <w:highlight w:val="yellow"/>
        </w:rPr>
        <w:t xml:space="preserve"> to Sections with specific information that the reader might expect to find in this Section, but is specified elsewhere.  For example, if hardware for aluminum entrances is specified in the aluminum entrance Section, a cross-reference would be appropriat</w:t>
      </w:r>
      <w:r>
        <w:rPr>
          <w:i w:val="1"/>
          <w:highlight w:val="yellow"/>
        </w:rPr>
        <w:t xml:space="preserve">e </w:t>
      </w:r>
      <w:r>
        <w:rPr>
          <w:i w:val="1"/>
          <w:highlight w:val="yellow"/>
        </w:rPr>
        <w:t xml:space="preserve">in the finish hardware Section.  The purpose of this cross-referencing is for information only, to aid in finding those other requirements—not to define the scope of the Section.</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Cross-referencing here may also be used to coordinate assemblies or system</w:t>
      </w:r>
      <w:r>
        <w:rPr>
          <w:i w:val="1"/>
          <w:highlight w:val="yellow"/>
        </w:rPr>
        <w:t xml:space="preserve">s </w:t>
      </w:r>
      <w:r>
        <w:rPr>
          <w:i w:val="1"/>
          <w:highlight w:val="yellow"/>
        </w:rPr>
        <w:t>whose components may span multiple Sections and which must meet certain performance requirements as an assembly or system.</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highlight w:val="yellow"/>
        </w:rPr>
      </w:pPr>
      <w:r>
        <w:rPr>
          <w:i w:val="1"/>
          <w:highlight w:val="yellow"/>
        </w:rPr>
        <w:t>Contractor is responsible for coordination of the Work.</w:t>
      </w:r>
    </w:p>
    <w:p>
      <w:pPr>
        <w:pStyle w:val="P37"/>
        <w:numPr>
          <w:ilvl w:val="2"/>
          <w:numId w:val="0"/>
        </w:numPr>
        <w:tabs>
          <w:tab w:val="left" w:pos="709" w:leader="none"/>
        </w:tabs>
        <w:ind w:left="709"/>
        <w:rPr>
          <w:i w:val="1"/>
          <w:highlight w:val="yellow"/>
        </w:rPr>
      </w:pPr>
    </w:p>
    <w:p>
      <w:pPr>
        <w:pStyle w:val="P37"/>
        <w:numPr>
          <w:ilvl w:val="2"/>
          <w:numId w:val="0"/>
        </w:numPr>
        <w:tabs>
          <w:tab w:val="left" w:pos="709" w:leader="none"/>
        </w:tabs>
        <w:ind w:left="709"/>
        <w:rPr>
          <w:i w:val="1"/>
        </w:rPr>
      </w:pPr>
      <w:r>
        <w:rPr>
          <w:i w:val="1"/>
          <w:highlight w:val="yellow"/>
        </w:rPr>
        <w:t xml:space="preserve">This Section is to be completed/updated during the design development by </w:t>
      </w:r>
      <w:r>
        <w:rPr>
          <w:i w:val="1"/>
          <w:highlight w:val="yellow"/>
        </w:rPr>
        <w:t>th</w:t>
      </w:r>
      <w:r>
        <w:rPr>
          <w:i w:val="1"/>
          <w:highlight w:val="yellow"/>
        </w:rPr>
        <w:t>e Consultant. If it is not applicable to the section for the specific project it may be deleted.]</w:t>
      </w:r>
    </w:p>
    <w:p>
      <w:pPr>
        <w:pStyle w:val="P37"/>
        <w:numPr>
          <w:ilvl w:val="2"/>
          <w:numId w:val="0"/>
        </w:numPr>
        <w:tabs>
          <w:tab w:val="left" w:pos="709" w:leader="none"/>
        </w:tabs>
        <w:ind w:left="709"/>
      </w:pPr>
    </w:p>
    <w:p>
      <w:pPr>
        <w:pStyle w:val="P37"/>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7"/>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tabs>
          <w:tab w:val="left" w:pos="709" w:leader="none"/>
        </w:tabs>
        <w:ind w:left="709"/>
        <w:rPr>
          <w:i w:val="1"/>
        </w:rPr>
      </w:pPr>
      <w:r>
        <w:rPr>
          <w:i w:val="1"/>
          <w:highlight w:val="yellow"/>
        </w:rPr>
        <w:t>[List Sections specifying related requirements.]</w:t>
      </w:r>
    </w:p>
    <w:p>
      <w:pPr>
        <w:pStyle w:val="P37"/>
        <w:tabs>
          <w:tab w:val="left" w:pos="1418" w:leader="none"/>
          <w:tab w:val="clear" w:pos="1440" w:leader="none"/>
        </w:tabs>
        <w:ind w:hanging="709" w:left="1418"/>
      </w:pPr>
      <w:r>
        <w:t xml:space="preserve">Section </w:t>
      </w:r>
      <w:r>
        <w:rPr>
          <w:highlight w:val="yellow"/>
        </w:rPr>
        <w:t xml:space="preserve">[______ – ____________]:  [Optional short phrase indicating relationship].</w:t>
      </w:r>
    </w:p>
    <w:p>
      <w:pPr>
        <w:pStyle w:val="P37"/>
        <w:numPr>
          <w:ilvl w:val="2"/>
          <w:numId w:val="0"/>
        </w:numPr>
        <w:ind w:left="706"/>
        <w:rPr>
          <w:i w:val="1"/>
        </w:rPr>
      </w:pPr>
    </w:p>
    <w:p>
      <w:pPr>
        <w:pStyle w:val="P37"/>
        <w:numPr>
          <w:ilvl w:val="2"/>
          <w:numId w:val="0"/>
        </w:numPr>
        <w:ind w:left="706"/>
        <w:rPr>
          <w:i w:val="1"/>
        </w:rPr>
      </w:pPr>
      <w:r>
        <w:rPr>
          <w:i w:val="1"/>
          <w:highlight w:val="yellow"/>
        </w:rPr>
        <w:t>[List Sections specifying related requirements.]</w:t>
      </w:r>
    </w:p>
    <w:p>
      <w:pPr>
        <w:pStyle w:val="P37"/>
        <w:numPr>
          <w:ilvl w:val="2"/>
          <w:numId w:val="24"/>
        </w:numPr>
        <w:rPr>
          <w:highlight w:val="yellow"/>
        </w:rPr>
      </w:pPr>
      <w:r>
        <w:rPr>
          <w:highlight w:val="yellow"/>
        </w:rPr>
        <w:t xml:space="preserve">Section 01060  – Regulatory Requirements</w:t>
      </w:r>
    </w:p>
    <w:p>
      <w:pPr>
        <w:pStyle w:val="P37"/>
        <w:rPr>
          <w:highlight w:val="yellow"/>
        </w:rPr>
      </w:pPr>
      <w:r>
        <w:rPr>
          <w:highlight w:val="yellow"/>
        </w:rPr>
        <w:t>Section 01300 – Submittals</w:t>
      </w:r>
    </w:p>
    <w:p>
      <w:pPr>
        <w:pStyle w:val="P37"/>
        <w:rPr>
          <w:highlight w:val="yellow"/>
        </w:rPr>
      </w:pPr>
      <w:r>
        <w:rPr>
          <w:highlight w:val="yellow"/>
        </w:rPr>
        <w:t>Section 03300 – Cast In Place Concrete</w:t>
      </w:r>
    </w:p>
    <w:p>
      <w:pPr>
        <w:pStyle w:val="P37"/>
      </w:pPr>
      <w:r>
        <w:t xml:space="preserve">Section </w:t>
      </w:r>
      <w:r>
        <w:rPr>
          <w:highlight w:val="yellow"/>
        </w:rPr>
        <w:t xml:space="preserve">[______ – ____________]:  [Optional short phrase indicating relationship].</w:t>
      </w:r>
    </w:p>
    <w:p>
      <w:pPr>
        <w:pStyle w:val="P37"/>
        <w:tabs>
          <w:tab w:val="left" w:pos="1418" w:leader="none"/>
          <w:tab w:val="clear" w:pos="1440" w:leader="none"/>
        </w:tabs>
        <w:ind w:hanging="709" w:left="1418"/>
      </w:pPr>
    </w:p>
    <w:p>
      <w:pPr>
        <w:pStyle w:val="P36"/>
      </w:pPr>
      <w: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w:t>
      </w:r>
      <w:r>
        <w:rPr>
          <w:rFonts w:ascii="Calibri" w:hAnsi="Calibri"/>
          <w:i w:val="1"/>
          <w:highlight w:val="yellow"/>
        </w:rPr>
        <w:t>s.</w:t>
      </w:r>
      <w:r>
        <w:rPr>
          <w:rFonts w:ascii="Calibri" w:hAnsi="Calibri"/>
          <w:i w:val="1"/>
          <w:highlight w:val="yellow"/>
        </w:rPr>
        <w:t>]</w:t>
      </w:r>
    </w:p>
    <w:p>
      <w:pPr>
        <w:pStyle w:val="P37"/>
        <w:tabs>
          <w:tab w:val="left" w:pos="1418" w:leader="none"/>
          <w:tab w:val="clear" w:pos="1440" w:leader="none"/>
        </w:tabs>
        <w:ind w:hanging="709" w:left="1418"/>
      </w:pPr>
      <w:r>
        <w:t>Comply with the latest edition of the following statutes, codes, standards, and all amendments thereto:</w:t>
      </w:r>
    </w:p>
    <w:p>
      <w:pPr>
        <w:pStyle w:val="P38"/>
        <w:tabs>
          <w:tab w:val="left" w:pos="2127" w:leader="none"/>
        </w:tabs>
        <w:ind w:hanging="709" w:left="2127"/>
      </w:pPr>
      <w:r>
        <w:t>CSA A165 Series-14, Standards on Concrete Masonry Units.</w:t>
      </w:r>
    </w:p>
    <w:p>
      <w:pPr>
        <w:pStyle w:val="P38"/>
        <w:tabs>
          <w:tab w:val="left" w:pos="2127" w:leader="none"/>
        </w:tabs>
        <w:ind w:hanging="709" w:left="2127"/>
      </w:pPr>
      <w:r>
        <w:t>CSA A179-14, Mortar and Grout for Unit Masonry.</w:t>
      </w:r>
    </w:p>
    <w:p>
      <w:pPr>
        <w:pStyle w:val="P38"/>
        <w:tabs>
          <w:tab w:val="left" w:pos="2127" w:leader="none"/>
        </w:tabs>
        <w:ind w:hanging="709" w:left="2127"/>
      </w:pPr>
      <w:r>
        <w:t>CAN3 A371-14, Masonry Construction for Buildings.</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w:t>
      </w:r>
      <w:r>
        <w:rPr>
          <w:rFonts w:ascii="Calibri" w:hAnsi="Calibri"/>
          <w:i w:val="1"/>
          <w:sz w:val="22"/>
          <w:highlight w:val="yellow"/>
        </w:rPr>
        <w:t>va</w:t>
      </w:r>
      <w:r>
        <w:rPr>
          <w:rFonts w:ascii="Calibri" w:hAnsi="Calibri"/>
          <w:i w:val="1"/>
          <w:sz w:val="22"/>
          <w:highlight w:val="yellow"/>
        </w:rPr>
        <w:t>nt item in the Bid Form:</w:t>
      </w:r>
    </w:p>
    <w:p>
      <w:pPr>
        <w:pStyle w:val="P37"/>
        <w:rPr>
          <w:highlight w:val="yellow"/>
        </w:rPr>
      </w:pPr>
      <w:r>
        <w:rPr>
          <w:highlight w:val="yellow"/>
        </w:rPr>
        <w:t>All costs associated with the work of this Section shall be included in the price(s) for Item No(s). ___ in the Bid Form.</w:t>
      </w:r>
    </w:p>
    <w:p>
      <w:pPr>
        <w:pStyle w:val="P37"/>
        <w:numPr>
          <w:ilvl w:val="2"/>
          <w:numId w:val="0"/>
        </w:numPr>
        <w:tabs>
          <w:tab w:val="left" w:pos="1418" w:leader="none"/>
        </w:tabs>
        <w:ind w:hanging="720" w:left="1440"/>
      </w:pPr>
      <w:r>
        <w:rPr>
          <w:i w:val="1"/>
          <w:highlight w:val="yellow"/>
        </w:rPr>
        <w:t>If the work of this Section is to be measured and paid for by several different methods, please amend the s</w:t>
      </w:r>
      <w:r>
        <w:rPr>
          <w:i w:val="1"/>
          <w:highlight w:val="yellow"/>
        </w:rPr>
        <w:t>ta</w:t>
      </w:r>
      <w:r>
        <w:rPr>
          <w:i w:val="1"/>
          <w:highlight w:val="yellow"/>
        </w:rPr>
        <w:t>ndard wording given above to reflect the different methods of measurement and payment.</w:t>
      </w:r>
      <w:r>
        <w:rPr>
          <w:highlight w:val="yellow"/>
        </w:rPr>
        <w:t>]</w:t>
      </w:r>
    </w:p>
    <w:p>
      <w:pPr>
        <w:pStyle w:val="P36"/>
      </w:pPr>
      <w:r>
        <w:t>Submittals</w:t>
      </w:r>
    </w:p>
    <w:p>
      <w:pPr>
        <w:pStyle w:val="P37"/>
        <w:tabs>
          <w:tab w:val="left" w:pos="1418" w:leader="none"/>
          <w:tab w:val="clear" w:pos="1440" w:leader="none"/>
        </w:tabs>
        <w:ind w:hanging="709" w:left="1418"/>
      </w:pPr>
      <w:r>
        <w:t>Product Data:</w:t>
      </w:r>
    </w:p>
    <w:p>
      <w:pPr>
        <w:pStyle w:val="P38"/>
        <w:tabs>
          <w:tab w:val="left" w:pos="2127" w:leader="none"/>
        </w:tabs>
        <w:ind w:hanging="709" w:left="2127"/>
      </w:pPr>
      <w:r>
        <w:t xml:space="preserve">Submit the manufacturers’ printed Product literature, specifications and data sheets in accordance with </w:t>
      </w:r>
      <w:r>
        <w:rPr>
          <w:highlight w:val="yellow"/>
        </w:rPr>
        <w:t>Section 01300 – Submittals</w:t>
      </w:r>
      <w:r>
        <w:t>.</w:t>
      </w:r>
    </w:p>
    <w:p>
      <w:pPr>
        <w:pStyle w:val="P37"/>
        <w:tabs>
          <w:tab w:val="left" w:pos="1418" w:leader="none"/>
          <w:tab w:val="clear" w:pos="1440" w:leader="none"/>
        </w:tabs>
        <w:ind w:hanging="709" w:left="1418"/>
      </w:pPr>
      <w:r>
        <w:t>Samples:</w:t>
      </w:r>
    </w:p>
    <w:p>
      <w:pPr>
        <w:pStyle w:val="P38"/>
        <w:tabs>
          <w:tab w:val="left" w:pos="2127" w:leader="none"/>
        </w:tabs>
        <w:ind w:hanging="709" w:left="2127"/>
        <w:rPr>
          <w:highlight w:val="yellow"/>
        </w:rPr>
      </w:pPr>
      <w:r>
        <w:t xml:space="preserve">Submit samples in accordance with </w:t>
      </w:r>
      <w:r>
        <w:rPr>
          <w:highlight w:val="yellow"/>
        </w:rPr>
        <w:t>Section 01300 - Submittals</w:t>
      </w:r>
      <w:r>
        <w:t xml:space="preserve">. </w:t>
      </w:r>
      <w:r>
        <w:rPr>
          <w:highlight w:val="yellow"/>
        </w:rPr>
        <w:t>[Consultant to confirm Section 01300 – Submittals contains proper cross references to align with this specification]</w:t>
      </w:r>
    </w:p>
    <w:p>
      <w:pPr>
        <w:pStyle w:val="P38"/>
        <w:tabs>
          <w:tab w:val="left" w:pos="2127" w:leader="none"/>
        </w:tabs>
        <w:ind w:hanging="709" w:left="2127"/>
      </w:pPr>
      <w:r>
        <w:t>Submit the following samples:</w:t>
      </w:r>
    </w:p>
    <w:p>
      <w:pPr>
        <w:pStyle w:val="P45"/>
        <w:tabs>
          <w:tab w:val="left" w:pos="2835" w:leader="none"/>
        </w:tabs>
        <w:ind w:hanging="708" w:left="2835"/>
        <w:rPr>
          <w:highlight w:val="yellow"/>
        </w:rPr>
      </w:pPr>
      <w:r>
        <w:rPr>
          <w:highlight w:val="yellow"/>
        </w:rPr>
        <w:t>[Six] [___] of each type of masonry unit specified in the Contract Documents.</w:t>
      </w:r>
    </w:p>
    <w:p>
      <w:pPr>
        <w:pStyle w:val="P45"/>
        <w:tabs>
          <w:tab w:val="left" w:pos="2835" w:leader="none"/>
        </w:tabs>
        <w:ind w:hanging="708" w:left="2835"/>
        <w:rPr>
          <w:highlight w:val="yellow"/>
        </w:rPr>
      </w:pPr>
      <w:r>
        <w:rPr>
          <w:highlight w:val="yellow"/>
        </w:rPr>
        <w:t>[Two] [___] of each type of masonry accessory specified in the Contract Documents.</w:t>
      </w:r>
    </w:p>
    <w:p>
      <w:pPr>
        <w:pStyle w:val="P45"/>
        <w:tabs>
          <w:tab w:val="left" w:pos="2835" w:leader="none"/>
        </w:tabs>
        <w:ind w:hanging="708" w:left="2835"/>
        <w:rPr>
          <w:highlight w:val="yellow"/>
        </w:rPr>
      </w:pPr>
      <w:r>
        <w:rPr>
          <w:highlight w:val="yellow"/>
        </w:rPr>
        <w:t>[One] [___] of each type of masonry reinforcement, tie and connector proposed for use.</w:t>
      </w:r>
    </w:p>
    <w:p>
      <w:pPr>
        <w:pStyle w:val="P45"/>
        <w:tabs>
          <w:tab w:val="left" w:pos="2835" w:leader="none"/>
        </w:tabs>
        <w:ind w:hanging="708" w:left="2835"/>
        <w:rPr>
          <w:highlight w:val="yellow"/>
        </w:rPr>
      </w:pPr>
      <w:r>
        <w:rPr>
          <w:highlight w:val="yellow"/>
        </w:rPr>
        <w:t>A minimum of [six] [___] of each type of masonry unit specified in the Contract Documents for testing purposes. [Consultant to amend as appropriate]</w:t>
      </w:r>
    </w:p>
    <w:p>
      <w:pPr>
        <w:pStyle w:val="P38"/>
        <w:tabs>
          <w:tab w:val="left" w:pos="2127" w:leader="none"/>
        </w:tabs>
        <w:ind w:hanging="709" w:left="2127"/>
      </w:pPr>
      <w:r>
        <w:t>Submit samples for testing to laboratories employing technicians certified/trained in procedures for testing masonry units and which are otherwise acceptable to the Consultant.</w:t>
      </w:r>
    </w:p>
    <w:p>
      <w:pPr>
        <w:pStyle w:val="P37"/>
        <w:tabs>
          <w:tab w:val="left" w:pos="1418" w:leader="none"/>
          <w:tab w:val="clear" w:pos="1440" w:leader="none"/>
        </w:tabs>
        <w:ind w:hanging="709" w:left="1418"/>
      </w:pPr>
      <w:r>
        <w:t>Manufacturer's Instructions.</w:t>
      </w:r>
    </w:p>
    <w:p>
      <w:pPr>
        <w:pStyle w:val="P38"/>
        <w:tabs>
          <w:tab w:val="left" w:pos="2127" w:leader="none"/>
        </w:tabs>
        <w:ind w:hanging="709" w:left="2127"/>
      </w:pPr>
      <w:r>
        <w:t>Submit the manufacturer's installation instructions.</w:t>
      </w:r>
    </w:p>
    <w:p>
      <w:pPr>
        <w:pStyle w:val="P36"/>
      </w:pPr>
      <w:r>
        <w:t>Quality Assurance</w:t>
      </w:r>
    </w:p>
    <w:p>
      <w:pPr>
        <w:pStyle w:val="P37"/>
        <w:tabs>
          <w:tab w:val="left" w:pos="1418" w:leader="none"/>
          <w:tab w:val="clear" w:pos="1440" w:leader="none"/>
        </w:tabs>
        <w:ind w:hanging="709" w:left="1418"/>
      </w:pPr>
      <w:r>
        <w:t>Test Reports:</w:t>
      </w:r>
    </w:p>
    <w:p>
      <w:pPr>
        <w:pStyle w:val="P38"/>
        <w:tabs>
          <w:tab w:val="left" w:pos="2127" w:leader="none"/>
        </w:tabs>
        <w:ind w:hanging="709" w:left="2127"/>
      </w:pPr>
      <w:r>
        <w:t>Certified test reports showing compliance with the specified performance characteristics and physical properties.</w:t>
      </w:r>
    </w:p>
    <w:p>
      <w:pPr>
        <w:pStyle w:val="P38"/>
        <w:tabs>
          <w:tab w:val="left" w:pos="2127" w:leader="none"/>
        </w:tabs>
        <w:ind w:hanging="709" w:left="2127"/>
      </w:pPr>
      <w:r>
        <w:t>Submit laboratory test reports.</w:t>
      </w:r>
    </w:p>
    <w:p>
      <w:pPr>
        <w:pStyle w:val="P38"/>
        <w:tabs>
          <w:tab w:val="left" w:pos="2127" w:leader="none"/>
        </w:tabs>
        <w:ind w:hanging="709" w:left="2127"/>
      </w:pPr>
      <w:r>
        <w:t xml:space="preserve">Submit laboratory test reports certifying compliance of masonry units </w:t>
      </w:r>
      <w:r>
        <w:rPr>
          <w:highlight w:val="yellow"/>
        </w:rPr>
        <w:t>[and mortar ingredients]</w:t>
      </w:r>
      <w:r>
        <w:t xml:space="preserve"> </w:t>
      </w:r>
      <w:r>
        <w:rPr>
          <w:highlight w:val="yellow"/>
        </w:rPr>
        <w:t>[___]</w:t>
      </w:r>
      <w:r>
        <w:t xml:space="preserve"> with the specification requirements.</w:t>
      </w:r>
    </w:p>
    <w:p>
      <w:pPr>
        <w:pStyle w:val="P37"/>
        <w:tabs>
          <w:tab w:val="left" w:pos="1418" w:leader="none"/>
          <w:tab w:val="clear" w:pos="1440" w:leader="none"/>
        </w:tabs>
        <w:ind w:hanging="709" w:left="1418"/>
      </w:pPr>
      <w:r>
        <w:t>Certificates: Product certificates signed by the manufacturer certifying that the materials comply with the specified performance characteristics and criteria and the physical requirements.</w:t>
      </w:r>
    </w:p>
    <w:p>
      <w:pPr>
        <w:pStyle w:val="P37"/>
        <w:tabs>
          <w:tab w:val="left" w:pos="1418" w:leader="none"/>
          <w:tab w:val="clear" w:pos="1440" w:leader="none"/>
        </w:tabs>
        <w:ind w:hanging="709" w:left="1418"/>
      </w:pPr>
      <w:r>
        <w:t>Mockups.</w:t>
      </w:r>
    </w:p>
    <w:p>
      <w:pPr>
        <w:pStyle w:val="P38"/>
        <w:tabs>
          <w:tab w:val="left" w:pos="2127" w:leader="none"/>
        </w:tabs>
        <w:ind w:hanging="709" w:left="2127"/>
      </w:pPr>
      <w:r>
        <w:t>Construct a mockup panel of exterior masonry wall construction, 1,200 mm x 1,800 mm, showing masonry colours and textures, use of reinforcement, ties, through wall flashing, weep holes, jointing, coursing, mortar and workmanship.</w:t>
      </w:r>
    </w:p>
    <w:p>
      <w:pPr>
        <w:pStyle w:val="P38"/>
        <w:tabs>
          <w:tab w:val="left" w:pos="2127" w:leader="none"/>
        </w:tabs>
        <w:ind w:hanging="709" w:left="2127"/>
      </w:pPr>
      <w:r>
        <w:t>The mockup will be used:</w:t>
      </w:r>
    </w:p>
    <w:p>
      <w:pPr>
        <w:pStyle w:val="P45"/>
        <w:tabs>
          <w:tab w:val="left" w:pos="2835" w:leader="none"/>
        </w:tabs>
        <w:ind w:hanging="708" w:left="2835"/>
      </w:pPr>
      <w:r>
        <w:t>To judge workmanship, substrate preparation, operation of equipment and material application.</w:t>
      </w:r>
    </w:p>
    <w:p>
      <w:pPr>
        <w:pStyle w:val="P45"/>
        <w:tabs>
          <w:tab w:val="left" w:pos="2835" w:leader="none"/>
        </w:tabs>
        <w:ind w:hanging="708" w:left="2835"/>
      </w:pPr>
      <w:r>
        <w:t xml:space="preserve">For testing to determine compliance with performance requirements.  The Contractor shall perform the necessary tests.</w:t>
      </w:r>
    </w:p>
    <w:p>
      <w:pPr>
        <w:pStyle w:val="P45"/>
        <w:tabs>
          <w:tab w:val="left" w:pos="2835" w:leader="none"/>
        </w:tabs>
        <w:ind w:hanging="708" w:left="2835"/>
        <w:rPr>
          <w:highlight w:val="yellow"/>
        </w:rPr>
      </w:pPr>
      <w:r>
        <w:t xml:space="preserve">For clay units, in addition to the requirements set out in the referenced CSA and ASTM Standards, include data indicating the initial rate of absorption. </w:t>
      </w:r>
      <w:r>
        <w:rPr>
          <w:i w:val="1"/>
          <w:highlight w:val="yellow"/>
        </w:rPr>
        <w:t xml:space="preserve">[Consultant to amend with specific references </w:t>
      </w:r>
      <w:r>
        <w:rPr>
          <w:i w:val="1"/>
          <w:highlight w:val="yellow"/>
        </w:rPr>
        <w:t>to CSA and ASTM standards]</w:t>
      </w:r>
    </w:p>
    <w:p>
      <w:pPr>
        <w:pStyle w:val="P38"/>
        <w:tabs>
          <w:tab w:val="left" w:pos="2127" w:leader="none"/>
        </w:tabs>
        <w:ind w:hanging="709" w:left="2127"/>
      </w:pPr>
      <w:r>
        <w:t>Construct the mock up where directed by the Consultant.</w:t>
      </w:r>
    </w:p>
    <w:p>
      <w:pPr>
        <w:pStyle w:val="P38"/>
        <w:tabs>
          <w:tab w:val="left" w:pos="2127" w:leader="none"/>
        </w:tabs>
        <w:ind w:hanging="709" w:left="2127"/>
      </w:pPr>
      <w:r>
        <w:t xml:space="preserve">Allow </w:t>
      </w:r>
      <w:r>
        <w:rPr>
          <w:highlight w:val="yellow"/>
        </w:rPr>
        <w:t>[24] [___]</w:t>
      </w:r>
      <w:r>
        <w:t xml:space="preserve"> hours for inspection of the mock up by the </w:t>
      </w:r>
      <w:r>
        <w:rPr>
          <w:highlight w:val="yellow"/>
        </w:rPr>
        <w:t>[Consultant]</w:t>
      </w:r>
      <w:r>
        <w:t xml:space="preserve"> before proceeding with the Work.</w:t>
      </w:r>
    </w:p>
    <w:p>
      <w:pPr>
        <w:pStyle w:val="P38"/>
        <w:tabs>
          <w:tab w:val="left" w:pos="2127" w:leader="none"/>
        </w:tabs>
        <w:ind w:hanging="709" w:left="2127"/>
      </w:pPr>
      <w:r>
        <w:t xml:space="preserve">When accepted by the </w:t>
      </w:r>
      <w:r>
        <w:rPr>
          <w:highlight w:val="yellow"/>
        </w:rPr>
        <w:t>[Consultant]</w:t>
      </w:r>
      <w:r>
        <w:t xml:space="preserve">, the mock up will demonstrate the minimum standard for this Work.  The mock up may </w:t>
      </w:r>
      <w:r>
        <w:rPr>
          <w:highlight w:val="yellow"/>
        </w:rPr>
        <w:t>[not]</w:t>
      </w:r>
      <w:r>
        <w:t xml:space="preserve"> </w:t>
      </w:r>
      <w:r>
        <w:rPr>
          <w:highlight w:val="yellow"/>
        </w:rPr>
        <w:t>[___]</w:t>
      </w:r>
      <w:r>
        <w:t xml:space="preserve">, at the discretion of the </w:t>
      </w:r>
      <w:r>
        <w:rPr>
          <w:highlight w:val="yellow"/>
        </w:rPr>
        <w:t>[Consultant],</w:t>
      </w:r>
      <w:r>
        <w:t xml:space="preserve"> remain as part of the finished Work.</w:t>
      </w:r>
    </w:p>
    <w:p>
      <w:pPr>
        <w:pStyle w:val="P37"/>
        <w:tabs>
          <w:tab w:val="left" w:pos="1418" w:leader="none"/>
          <w:tab w:val="clear" w:pos="1440" w:leader="none"/>
        </w:tabs>
        <w:ind w:hanging="709" w:left="1418"/>
      </w:pPr>
      <w:r>
        <w:t>Pre-Installation Meetings: conduct pre-installation meetings to verify the Contract Work requirements, manufacturer's installation instructions and manufacturer's warranty requirements.</w:t>
      </w:r>
    </w:p>
    <w:p>
      <w:pPr>
        <w:pStyle w:val="P36"/>
      </w:pPr>
      <w:r>
        <w:t>Delivery, Storage and Handling</w:t>
      </w:r>
    </w:p>
    <w:p>
      <w:pPr>
        <w:pStyle w:val="P37"/>
        <w:tabs>
          <w:tab w:val="left" w:pos="1418" w:leader="none"/>
          <w:tab w:val="clear" w:pos="1440" w:leader="none"/>
        </w:tabs>
        <w:ind w:hanging="709" w:left="1418"/>
      </w:pPr>
      <w:r>
        <w:t>Deliver materials to the Site in a dry condition.</w:t>
      </w:r>
    </w:p>
    <w:p>
      <w:pPr>
        <w:pStyle w:val="P37"/>
        <w:tabs>
          <w:tab w:val="left" w:pos="1418" w:leader="none"/>
          <w:tab w:val="clear" w:pos="1440" w:leader="none"/>
        </w:tabs>
        <w:ind w:hanging="709" w:left="1418"/>
      </w:pPr>
      <w:r>
        <w:t>Storage and Protection:</w:t>
      </w:r>
    </w:p>
    <w:p>
      <w:pPr>
        <w:pStyle w:val="P38"/>
        <w:tabs>
          <w:tab w:val="left" w:pos="2127" w:leader="none"/>
        </w:tabs>
        <w:ind w:hanging="709" w:left="2127"/>
        <w:rPr>
          <w:highlight w:val="yellow"/>
        </w:rPr>
      </w:pPr>
      <w:r>
        <w:t xml:space="preserve">Keep materials dry until their use </w:t>
      </w:r>
      <w:r>
        <w:rPr>
          <w:highlight w:val="yellow"/>
        </w:rPr>
        <w:t>[except where the wetting of bricks is specified in the Contract Documents][___].</w:t>
      </w:r>
    </w:p>
    <w:p>
      <w:pPr>
        <w:pStyle w:val="P38"/>
        <w:tabs>
          <w:tab w:val="left" w:pos="2127" w:leader="none"/>
        </w:tabs>
        <w:ind w:hanging="709" w:left="2127"/>
      </w:pPr>
      <w:r>
        <w:t>Store materials under a waterproof cover on pallets or plank platforms held off the ground by means of planks or timber skids.</w:t>
      </w:r>
    </w:p>
    <w:p>
      <w:pPr>
        <w:pStyle w:val="P36"/>
      </w:pPr>
      <w:r>
        <w:t>Environmental Requirements</w:t>
      </w:r>
    </w:p>
    <w:p>
      <w:pPr>
        <w:pStyle w:val="P37"/>
        <w:tabs>
          <w:tab w:val="left" w:pos="1418" w:leader="none"/>
          <w:tab w:val="clear" w:pos="1440" w:leader="none"/>
        </w:tabs>
        <w:ind w:hanging="709" w:left="1418"/>
      </w:pPr>
      <w:r>
        <w:t>Cold weather requirements:</w:t>
      </w:r>
    </w:p>
    <w:p>
      <w:pPr>
        <w:pStyle w:val="P38"/>
        <w:tabs>
          <w:tab w:val="left" w:pos="2127" w:leader="none"/>
        </w:tabs>
        <w:ind w:hanging="709" w:left="2127"/>
      </w:pPr>
      <w:r>
        <w:t xml:space="preserve">Supplement </w:t>
      </w:r>
      <w:r>
        <w:rPr>
          <w:highlight w:val="yellow"/>
        </w:rPr>
        <w:t>[Clause 5.15.2 of CAN3 A371-14, Consultant to confirm accuracy and amend as required the cross reference with the updated standard]</w:t>
      </w:r>
      <w:r>
        <w:t xml:space="preserve"> with the following requirements:</w:t>
      </w:r>
    </w:p>
    <w:p>
      <w:pPr>
        <w:pStyle w:val="P45"/>
        <w:tabs>
          <w:tab w:val="left" w:pos="2835" w:leader="none"/>
        </w:tabs>
        <w:ind w:hanging="708" w:left="2835"/>
      </w:pPr>
      <w:r>
        <w:t>Maintain the temperature of mortar between 5 degrees Celsius and 50 degrees Celsius until the batch is used.</w:t>
      </w:r>
    </w:p>
    <w:p>
      <w:pPr>
        <w:pStyle w:val="P45"/>
        <w:tabs>
          <w:tab w:val="left" w:pos="2835" w:leader="none"/>
        </w:tabs>
        <w:ind w:hanging="708" w:left="2835"/>
      </w:pPr>
      <w:r>
        <w:t>Maintain ambient temperature between 5 degrees Celsius and 50 degree Celsius and protect the Site from wind-chill.</w:t>
      </w:r>
    </w:p>
    <w:p>
      <w:pPr>
        <w:pStyle w:val="P37"/>
        <w:tabs>
          <w:tab w:val="left" w:pos="1418" w:leader="none"/>
          <w:tab w:val="clear" w:pos="1440" w:leader="none"/>
        </w:tabs>
        <w:ind w:hanging="709" w:left="1418"/>
      </w:pPr>
      <w:r>
        <w:t>Hot weather requirements:</w:t>
      </w:r>
    </w:p>
    <w:p>
      <w:pPr>
        <w:pStyle w:val="P38"/>
        <w:tabs>
          <w:tab w:val="left" w:pos="2127" w:leader="none"/>
        </w:tabs>
        <w:ind w:hanging="709" w:left="2127"/>
      </w:pPr>
      <w:r>
        <w:t>Protect freshly laid masonry from drying too rapidly, by means of waterproof, non-staining coverings.</w:t>
      </w:r>
    </w:p>
    <w:p>
      <w:pPr>
        <w:pStyle w:val="P38"/>
        <w:tabs>
          <w:tab w:val="left" w:pos="2127" w:leader="none"/>
        </w:tabs>
        <w:ind w:hanging="709" w:left="2127"/>
      </w:pPr>
      <w:r>
        <w:t>Keep masonry dry using waterproof, non-staining coverings that extend over walls and down the sides a sufficient length to protect walls from wind driven rain, until masonry work is completed and protected by flashings or other permanent construction.</w:t>
      </w:r>
    </w:p>
    <w:p>
      <w:pPr>
        <w:pStyle w:val="P35"/>
      </w:pPr>
      <w:r>
        <w:t>PRODUCTS</w:t>
      </w:r>
    </w:p>
    <w:p>
      <w:pPr>
        <w:pStyle w:val="P36"/>
      </w:pPr>
      <w:r>
        <w:t>Materials</w:t>
      </w:r>
    </w:p>
    <w:p>
      <w:pPr>
        <w:pStyle w:val="P38"/>
        <w:tabs>
          <w:tab w:val="left" w:pos="1418" w:leader="none"/>
        </w:tabs>
        <w:ind w:hanging="709" w:left="1418"/>
        <w:rPr>
          <w:highlight w:val="yellow"/>
        </w:rPr>
      </w:pPr>
      <w:r>
        <w:t xml:space="preserve">Masonry materials are specified in </w:t>
      </w:r>
      <w:r>
        <w:rPr>
          <w:i w:val="1"/>
          <w:highlight w:val="yellow"/>
        </w:rPr>
        <w:t>[Consultant to provide details]</w:t>
      </w:r>
      <w:r>
        <w:rPr>
          <w:highlight w:val="yellow"/>
        </w:rPr>
        <w:t>.</w:t>
      </w:r>
    </w:p>
    <w:p>
      <w:pPr>
        <w:pStyle w:val="P35"/>
      </w:pPr>
      <w:r>
        <w:t>EXECUTION</w:t>
      </w:r>
    </w:p>
    <w:p>
      <w:pPr>
        <w:pStyle w:val="P36"/>
      </w:pPr>
      <w:r>
        <w:t>Manufacturer’s Instructions</w:t>
      </w:r>
    </w:p>
    <w:p>
      <w:pPr>
        <w:pStyle w:val="P38"/>
        <w:tabs>
          <w:tab w:val="left" w:pos="1418" w:leader="none"/>
        </w:tabs>
        <w:ind w:hanging="709" w:left="1418"/>
      </w:pPr>
      <w:r>
        <w:t>Compliance: Comply with the manufacturer's written data, including Product technical bulletins, Product catalogue installation instructions, Product carton installation instructions, and data sheets.</w:t>
      </w:r>
    </w:p>
    <w:p>
      <w:pPr>
        <w:pStyle w:val="P36"/>
      </w:pPr>
      <w:r>
        <w:t>Preparation</w:t>
      </w:r>
    </w:p>
    <w:p>
      <w:pPr>
        <w:pStyle w:val="P38"/>
        <w:tabs>
          <w:tab w:val="left" w:pos="1418" w:leader="none"/>
        </w:tabs>
        <w:ind w:hanging="709" w:left="1418"/>
      </w:pPr>
      <w:r>
        <w:t>Provide temporary bracing of masonry Work during and after erection until permanent lateral support is in place.</w:t>
      </w:r>
    </w:p>
    <w:p>
      <w:pPr>
        <w:pStyle w:val="P38"/>
        <w:tabs>
          <w:tab w:val="left" w:pos="1418" w:leader="none"/>
        </w:tabs>
        <w:ind w:hanging="709" w:left="1418"/>
      </w:pPr>
      <w:r>
        <w:t>Bracing is to be approved by the Consultant.</w:t>
      </w:r>
    </w:p>
    <w:p>
      <w:pPr>
        <w:pStyle w:val="P36"/>
      </w:pPr>
      <w:r>
        <w:t>Installation</w:t>
      </w:r>
    </w:p>
    <w:p>
      <w:pPr>
        <w:pStyle w:val="P38"/>
        <w:tabs>
          <w:tab w:val="left" w:pos="1418" w:leader="none"/>
        </w:tabs>
        <w:ind w:hanging="709" w:left="1418"/>
      </w:pPr>
      <w:r>
        <w:t xml:space="preserve">Complete masonry work in accordance with </w:t>
      </w:r>
      <w:r>
        <w:rPr>
          <w:highlight w:val="yellow"/>
        </w:rPr>
        <w:t>[CAN3 A371-14]</w:t>
      </w:r>
      <w:r>
        <w:t xml:space="preserve"> except where specified otherwise in the Contract Documents.</w:t>
      </w:r>
    </w:p>
    <w:p>
      <w:pPr>
        <w:pStyle w:val="P38"/>
        <w:tabs>
          <w:tab w:val="left" w:pos="1418" w:leader="none"/>
        </w:tabs>
        <w:ind w:hanging="709" w:left="1418"/>
      </w:pPr>
      <w:r>
        <w:t>Build masonry plumb, level, and true to line, with vertical joints in alignment.</w:t>
      </w:r>
    </w:p>
    <w:p>
      <w:pPr>
        <w:pStyle w:val="P38"/>
        <w:tabs>
          <w:tab w:val="left" w:pos="1418" w:leader="none"/>
        </w:tabs>
        <w:ind w:hanging="709" w:left="1418"/>
      </w:pPr>
      <w:r>
        <w:t>Layout coursing and bond to achieve the correct coursing heights, and continuity of the bond above and below openings, with the minimum amount of cutting.</w:t>
      </w:r>
    </w:p>
    <w:p>
      <w:pPr>
        <w:pStyle w:val="P36"/>
      </w:pPr>
      <w:r>
        <w:t>Construction</w:t>
      </w:r>
    </w:p>
    <w:p>
      <w:pPr>
        <w:pStyle w:val="P37"/>
        <w:tabs>
          <w:tab w:val="left" w:pos="1418" w:leader="none"/>
          <w:tab w:val="clear" w:pos="1440" w:leader="none"/>
        </w:tabs>
        <w:ind w:hanging="709" w:left="1418"/>
      </w:pPr>
      <w:r>
        <w:t>Exposed masonry:</w:t>
      </w:r>
    </w:p>
    <w:p>
      <w:pPr>
        <w:pStyle w:val="P38"/>
        <w:tabs>
          <w:tab w:val="left" w:pos="2127" w:leader="none"/>
        </w:tabs>
        <w:ind w:hanging="709" w:left="2127"/>
      </w:pPr>
      <w:r>
        <w:t>Remove chipped, cracked, and otherwise damaged units in exposed masonry and replace with undamaged units.</w:t>
      </w:r>
    </w:p>
    <w:p>
      <w:pPr>
        <w:pStyle w:val="P37"/>
        <w:tabs>
          <w:tab w:val="left" w:pos="1418" w:leader="none"/>
          <w:tab w:val="clear" w:pos="1440" w:leader="none"/>
        </w:tabs>
        <w:ind w:hanging="709" w:left="1418"/>
      </w:pPr>
      <w:r>
        <w:t>Jointing</w:t>
      </w:r>
    </w:p>
    <w:p>
      <w:pPr>
        <w:pStyle w:val="P38"/>
        <w:tabs>
          <w:tab w:val="left" w:pos="2127" w:leader="none"/>
        </w:tabs>
        <w:ind w:hanging="709" w:left="2127"/>
      </w:pPr>
      <w:r>
        <w:t>Allow joints to set just enough to remove excess water, then tool with a round jointer to provide smooth joints true to line, compressed, and provide uniformly concave joints where concave joints are indicated in the Contract Documents.</w:t>
      </w:r>
    </w:p>
    <w:p>
      <w:pPr>
        <w:pStyle w:val="P38"/>
        <w:tabs>
          <w:tab w:val="left" w:pos="2127" w:leader="none"/>
        </w:tabs>
        <w:ind w:hanging="709" w:left="2127"/>
      </w:pPr>
      <w:r>
        <w:t>Strike flush any joints concealed in walls and joints in walls which are to receive plaster, tile, insulation, or other applied material except paint, or a similar thin finish coating.</w:t>
      </w:r>
    </w:p>
    <w:p>
      <w:pPr>
        <w:pStyle w:val="P37"/>
        <w:tabs>
          <w:tab w:val="left" w:pos="1418" w:leader="none"/>
          <w:tab w:val="clear" w:pos="1440" w:leader="none"/>
        </w:tabs>
        <w:ind w:hanging="851" w:left="1560"/>
      </w:pPr>
      <w:r>
        <w:t>Cutting:</w:t>
      </w:r>
    </w:p>
    <w:p>
      <w:pPr>
        <w:pStyle w:val="P38"/>
        <w:tabs>
          <w:tab w:val="left" w:pos="2127" w:leader="none"/>
        </w:tabs>
        <w:ind w:hanging="709" w:left="2127"/>
      </w:pPr>
      <w:r>
        <w:t>Cut out for electrical switches, outlet boxes, and other recessed or built in objects.</w:t>
      </w:r>
    </w:p>
    <w:p>
      <w:pPr>
        <w:pStyle w:val="P38"/>
        <w:tabs>
          <w:tab w:val="left" w:pos="2127" w:leader="none"/>
        </w:tabs>
        <w:ind w:hanging="709" w:left="2127"/>
      </w:pPr>
      <w:r>
        <w:t>Make cuts straight, clean, and free from uneven edges.</w:t>
      </w:r>
    </w:p>
    <w:p>
      <w:pPr>
        <w:pStyle w:val="P37"/>
        <w:tabs>
          <w:tab w:val="left" w:pos="1418" w:leader="none"/>
          <w:tab w:val="clear" w:pos="1440" w:leader="none"/>
        </w:tabs>
        <w:ind w:hanging="709" w:left="1418"/>
      </w:pPr>
      <w:r>
        <w:t>Building In:</w:t>
      </w:r>
    </w:p>
    <w:p>
      <w:pPr>
        <w:pStyle w:val="P38"/>
        <w:tabs>
          <w:tab w:val="left" w:pos="2127" w:leader="none"/>
        </w:tabs>
        <w:ind w:hanging="709" w:left="2127"/>
      </w:pPr>
      <w:r>
        <w:t>Build in items required to be built into the masonry.</w:t>
      </w:r>
    </w:p>
    <w:p>
      <w:pPr>
        <w:pStyle w:val="P38"/>
        <w:tabs>
          <w:tab w:val="left" w:pos="2127" w:leader="none"/>
        </w:tabs>
        <w:ind w:hanging="709" w:left="2127"/>
      </w:pPr>
      <w:r>
        <w:t>Prevent displacement of built in items during construction. Check plumb, location and alignment frequently, as the Work progresses.</w:t>
      </w:r>
    </w:p>
    <w:p>
      <w:pPr>
        <w:pStyle w:val="P38"/>
        <w:tabs>
          <w:tab w:val="left" w:pos="2127" w:leader="none"/>
        </w:tabs>
        <w:ind w:hanging="709" w:left="2127"/>
      </w:pPr>
      <w:r>
        <w:t xml:space="preserve">Brace door jambs to maintain plumb.  Fill spaces between jambs and masonry with mortar.</w:t>
      </w:r>
    </w:p>
    <w:p>
      <w:pPr>
        <w:pStyle w:val="P37"/>
        <w:tabs>
          <w:tab w:val="left" w:pos="1418" w:leader="none"/>
          <w:tab w:val="clear" w:pos="1440" w:leader="none"/>
        </w:tabs>
        <w:ind w:hanging="709" w:left="1418"/>
      </w:pPr>
      <w:r>
        <w:t>Wetting of bricks:</w:t>
      </w:r>
    </w:p>
    <w:p>
      <w:pPr>
        <w:pStyle w:val="P38"/>
        <w:tabs>
          <w:tab w:val="left" w:pos="2127" w:leader="none"/>
        </w:tabs>
        <w:ind w:hanging="709" w:left="2127"/>
      </w:pPr>
      <w:r>
        <w:t>Except in cold weather, wet bricks having an initial rate of absorption exceeding 1 g/minute/1,000 mm</w:t>
      </w:r>
      <w:r>
        <w:rPr>
          <w:vertAlign w:val="superscript"/>
        </w:rPr>
        <w:t>2</w:t>
      </w:r>
      <w:r>
        <w:t>: to a uniform degree of saturation, 3 to 24 hours before laying, and do not lay until the surface is dry.</w:t>
      </w:r>
    </w:p>
    <w:p>
      <w:pPr>
        <w:pStyle w:val="P38"/>
        <w:tabs>
          <w:tab w:val="left" w:pos="2127" w:leader="none"/>
        </w:tabs>
        <w:ind w:hanging="709" w:left="2127"/>
      </w:pPr>
      <w:r>
        <w:t>Wet the tops of walls built of bricks qualifying for wetting, when recommencing Work on such walls.</w:t>
      </w:r>
    </w:p>
    <w:p>
      <w:pPr>
        <w:pStyle w:val="P37"/>
        <w:tabs>
          <w:tab w:val="left" w:pos="1418" w:leader="none"/>
          <w:tab w:val="clear" w:pos="1440" w:leader="none"/>
        </w:tabs>
        <w:ind w:hanging="709" w:left="1418"/>
      </w:pPr>
      <w:r>
        <w:t>Support of loads:</w:t>
      </w:r>
    </w:p>
    <w:p>
      <w:pPr>
        <w:pStyle w:val="P38"/>
        <w:tabs>
          <w:tab w:val="left" w:pos="2127" w:leader="none"/>
        </w:tabs>
        <w:ind w:hanging="709" w:left="2127"/>
      </w:pPr>
      <w:r>
        <w:t xml:space="preserve">Use 32 MPa concrete </w:t>
      </w:r>
      <w:r>
        <w:rPr>
          <w:highlight w:val="yellow"/>
        </w:rPr>
        <w:t>[in accordance with Section 03300 - Cast in Place Concrete],</w:t>
      </w:r>
      <w:r>
        <w:t xml:space="preserve"> where concrete fill is used in lieu of solid units.</w:t>
      </w:r>
    </w:p>
    <w:p>
      <w:pPr>
        <w:pStyle w:val="P38"/>
        <w:tabs>
          <w:tab w:val="left" w:pos="2127" w:leader="none"/>
        </w:tabs>
        <w:ind w:hanging="709" w:left="2127"/>
      </w:pPr>
      <w:r>
        <w:t xml:space="preserve">Use grout in accordance with </w:t>
      </w:r>
      <w:r>
        <w:rPr>
          <w:highlight w:val="yellow"/>
        </w:rPr>
        <w:t>[CSA A179-14]</w:t>
      </w:r>
      <w:r>
        <w:t xml:space="preserve"> where grout is used in lieu of solid units.</w:t>
      </w:r>
    </w:p>
    <w:p>
      <w:pPr>
        <w:pStyle w:val="P38"/>
        <w:tabs>
          <w:tab w:val="left" w:pos="2127" w:leader="none"/>
        </w:tabs>
        <w:ind w:hanging="709" w:left="2127"/>
      </w:pPr>
      <w:r>
        <w:t>Install building paper below voids to be filled with concrete grout; keep the paper 25 mm back from the faces of the units.</w:t>
      </w:r>
    </w:p>
    <w:p>
      <w:pPr>
        <w:pStyle w:val="P37"/>
        <w:tabs>
          <w:tab w:val="left" w:pos="1418" w:leader="none"/>
          <w:tab w:val="clear" w:pos="1440" w:leader="none"/>
        </w:tabs>
        <w:ind w:hanging="709" w:left="1418"/>
      </w:pPr>
      <w:r>
        <w:t>Provision for movement:</w:t>
      </w:r>
    </w:p>
    <w:p>
      <w:pPr>
        <w:pStyle w:val="P38"/>
        <w:tabs>
          <w:tab w:val="left" w:pos="2127" w:leader="none"/>
        </w:tabs>
        <w:ind w:hanging="709" w:left="2127"/>
      </w:pPr>
      <w:r>
        <w:t>Leave 3 mm of space below shelf angles.</w:t>
      </w:r>
    </w:p>
    <w:p>
      <w:pPr>
        <w:pStyle w:val="P38"/>
        <w:tabs>
          <w:tab w:val="left" w:pos="2127" w:leader="none"/>
        </w:tabs>
        <w:ind w:hanging="709" w:left="2127"/>
      </w:pPr>
      <w:r>
        <w:t xml:space="preserve">Leave 6 mm of space between the tops of non-load bearing walls and partitions and structural elements.  Do not use wedges.</w:t>
      </w:r>
    </w:p>
    <w:p>
      <w:pPr>
        <w:pStyle w:val="P38"/>
        <w:tabs>
          <w:tab w:val="left" w:pos="2127" w:leader="none"/>
        </w:tabs>
        <w:ind w:hanging="709" w:left="2127"/>
      </w:pPr>
      <w:r>
        <w:t>Build masonry to tie in with stabilizers, with provision for vertical movement.</w:t>
      </w:r>
    </w:p>
    <w:p>
      <w:pPr>
        <w:pStyle w:val="P37"/>
        <w:tabs>
          <w:tab w:val="left" w:pos="1418" w:leader="none"/>
          <w:tab w:val="clear" w:pos="1440" w:leader="none"/>
        </w:tabs>
        <w:ind w:hanging="709" w:left="1418"/>
      </w:pPr>
      <w:r>
        <w:t>Loose steel lintels:</w:t>
      </w:r>
    </w:p>
    <w:p>
      <w:pPr>
        <w:pStyle w:val="P38"/>
        <w:tabs>
          <w:tab w:val="left" w:pos="2127" w:leader="none"/>
        </w:tabs>
        <w:ind w:hanging="709" w:left="2127"/>
      </w:pPr>
      <w:r>
        <w:t xml:space="preserve">Install loose steel lintels.  Centre over the opening width.</w:t>
      </w:r>
    </w:p>
    <w:p>
      <w:pPr>
        <w:pStyle w:val="P37"/>
        <w:tabs>
          <w:tab w:val="left" w:pos="1418" w:leader="none"/>
          <w:tab w:val="clear" w:pos="1440" w:leader="none"/>
        </w:tabs>
        <w:ind w:hanging="709" w:left="1418"/>
      </w:pPr>
      <w:r>
        <w:t>Control joints:</w:t>
      </w:r>
    </w:p>
    <w:p>
      <w:pPr>
        <w:pStyle w:val="P38"/>
        <w:tabs>
          <w:tab w:val="left" w:pos="2127" w:leader="none"/>
        </w:tabs>
        <w:ind w:hanging="709" w:left="2127"/>
      </w:pPr>
      <w:r>
        <w:t>Construct continuous control joints as indicated in the Contract Documents.</w:t>
      </w:r>
    </w:p>
    <w:p>
      <w:pPr>
        <w:pStyle w:val="P37"/>
        <w:tabs>
          <w:tab w:val="left" w:pos="1418" w:leader="none"/>
          <w:tab w:val="clear" w:pos="1440" w:leader="none"/>
        </w:tabs>
        <w:ind w:hanging="709" w:left="1418"/>
      </w:pPr>
      <w:r>
        <w:t>Expansion joints:</w:t>
      </w:r>
    </w:p>
    <w:p>
      <w:pPr>
        <w:pStyle w:val="P38"/>
        <w:tabs>
          <w:tab w:val="left" w:pos="2127" w:leader="none"/>
        </w:tabs>
        <w:ind w:hanging="709" w:left="2127"/>
      </w:pPr>
      <w:r>
        <w:t>Build in continuous expansion joints as indicated in the Contract Documents.</w:t>
      </w:r>
    </w:p>
    <w:p>
      <w:pPr>
        <w:pStyle w:val="P37"/>
        <w:tabs>
          <w:tab w:val="left" w:pos="1418" w:leader="none"/>
          <w:tab w:val="clear" w:pos="1440" w:leader="none"/>
        </w:tabs>
        <w:ind w:hanging="709" w:left="1418"/>
      </w:pPr>
      <w:r>
        <w:t>Interface with other work:</w:t>
      </w:r>
    </w:p>
    <w:p>
      <w:pPr>
        <w:pStyle w:val="P38"/>
        <w:tabs>
          <w:tab w:val="left" w:pos="2127" w:leader="none"/>
        </w:tabs>
        <w:ind w:hanging="709" w:left="2127"/>
      </w:pPr>
      <w:r>
        <w:t>Cut openings in existing work as indicated in the Contract Documents.</w:t>
      </w:r>
    </w:p>
    <w:p>
      <w:pPr>
        <w:pStyle w:val="P38"/>
        <w:tabs>
          <w:tab w:val="left" w:pos="2127" w:leader="none"/>
        </w:tabs>
        <w:ind w:hanging="709" w:left="2127"/>
      </w:pPr>
      <w:r>
        <w:t xml:space="preserve">Openings in walls:  To be approved by the [Consultant].</w:t>
      </w:r>
    </w:p>
    <w:p>
      <w:pPr>
        <w:pStyle w:val="P38"/>
        <w:tabs>
          <w:tab w:val="left" w:pos="2127" w:leader="none"/>
        </w:tabs>
        <w:ind w:hanging="709" w:left="2127"/>
      </w:pPr>
      <w:r>
        <w:t xml:space="preserve">Make good existing work.  Use materials to match the existing.</w:t>
      </w:r>
    </w:p>
    <w:p>
      <w:pPr>
        <w:pStyle w:val="P36"/>
      </w:pPr>
      <w:r>
        <w:t>Site Tolerances</w:t>
      </w:r>
    </w:p>
    <w:p>
      <w:pPr>
        <w:pStyle w:val="P37"/>
        <w:tabs>
          <w:tab w:val="left" w:pos="1418" w:leader="none"/>
          <w:tab w:val="clear" w:pos="1440" w:leader="none"/>
        </w:tabs>
        <w:ind w:hanging="709" w:left="1418"/>
      </w:pPr>
      <w:r>
        <w:t xml:space="preserve">The tolerances in the notes to </w:t>
      </w:r>
      <w:r>
        <w:rPr>
          <w:highlight w:val="yellow"/>
        </w:rPr>
        <w:t>[Clause 5.3 of CAN3 A371-14]</w:t>
      </w:r>
      <w:r>
        <w:rPr>
          <w:i w:val="1"/>
          <w:highlight w:val="yellow"/>
        </w:rPr>
        <w:t>[</w:t>
      </w:r>
      <w:r>
        <w:rPr>
          <w:i w:val="1"/>
          <w:highlight w:val="yellow"/>
        </w:rPr>
        <w:t>Consultant to confirm cross reference an</w:t>
      </w:r>
      <w:r>
        <w:rPr>
          <w:i w:val="1"/>
          <w:highlight w:val="yellow"/>
        </w:rPr>
        <w:t>d amend as required</w:t>
      </w:r>
      <w:r>
        <w:rPr>
          <w:i w:val="1"/>
          <w:highlight w:val="yellow"/>
        </w:rPr>
        <w:t>]</w:t>
      </w:r>
      <w:r>
        <w:t xml:space="preserve"> shall apply.</w:t>
      </w:r>
    </w:p>
    <w:p>
      <w:pPr>
        <w:pStyle w:val="P36"/>
      </w:pPr>
      <w:r>
        <w:t>Field Quality Control</w:t>
      </w:r>
    </w:p>
    <w:p>
      <w:pPr>
        <w:pStyle w:val="P37"/>
        <w:tabs>
          <w:tab w:val="left" w:pos="1418" w:leader="none"/>
          <w:tab w:val="clear" w:pos="1440" w:leader="none"/>
        </w:tabs>
        <w:ind w:hanging="709" w:left="1418"/>
      </w:pPr>
      <w:r>
        <w:t>Inspection and testing will be carried out by a Testing Laboratory designated by the Consultant.</w:t>
      </w:r>
    </w:p>
    <w:p>
      <w:pPr>
        <w:pStyle w:val="P36"/>
      </w:pPr>
      <w:r>
        <w:t>Cleaning</w:t>
      </w:r>
    </w:p>
    <w:p>
      <w:pPr>
        <w:pStyle w:val="P37"/>
        <w:tabs>
          <w:tab w:val="left" w:pos="1418" w:leader="none"/>
          <w:tab w:val="clear" w:pos="1440" w:leader="none"/>
        </w:tabs>
        <w:ind w:hanging="709" w:left="1418"/>
      </w:pPr>
      <w:r>
        <w:t>Perform cleaning after installation to remove construction and accumulated environmental dirt.</w:t>
      </w:r>
    </w:p>
    <w:p>
      <w:pPr>
        <w:pStyle w:val="P37"/>
        <w:tabs>
          <w:tab w:val="left" w:pos="1418" w:leader="none"/>
          <w:tab w:val="clear" w:pos="1440" w:leader="none"/>
        </w:tabs>
        <w:ind w:hanging="709" w:left="1418"/>
      </w:pPr>
      <w:r>
        <w:t>Upon completion of installation, remove any surplus materials, rubbish, tools and equipment barriers.</w:t>
      </w:r>
    </w:p>
    <w:p>
      <w:pPr>
        <w:pStyle w:val="P36"/>
      </w:pPr>
      <w:r>
        <w:t>Protection</w:t>
      </w:r>
    </w:p>
    <w:p>
      <w:pPr>
        <w:pStyle w:val="P37"/>
        <w:tabs>
          <w:tab w:val="left" w:pos="1418" w:leader="none"/>
          <w:tab w:val="clear" w:pos="1440" w:leader="none"/>
        </w:tabs>
        <w:ind w:hanging="709" w:left="1418"/>
      </w:pPr>
      <w:r>
        <w:t xml:space="preserve">Protect masonry and other items of Work from marking and other damage.  Protect completed items of Work from mortar droppings.  Use non-staining coverings.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04051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MASONRY PROCEDURES</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04051</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MASONRY PROCEDURES</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04051</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2015-10-19</w:t>
    </w:r>
    <w:r>
      <w:rPr>
        <w:b w:val="1"/>
      </w:rPr>
      <w:tab/>
      <w:t>MASONRY PROCEDURES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r>
  </w:p>
  <w:p>
    <w:pPr>
      <w:pStyle w:val="P7"/>
    </w:pPr>
  </w:p>
</w:hdr>
</file>

<file path=word/numbering.xml><?xml version="1.0" encoding="utf-8"?>
<w:numbering xmlns:w="http://schemas.openxmlformats.org/wordprocessingml/2006/main">
  <w:abstractNum w:abstractNumId="0">
    <w:nsid w:val="FFFFFF89"/>
    <w:multiLevelType w:val="hybridMultilevel"/>
    <w:lvl w:ilvl="0" w:tplc="401747F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B4D645F"/>
    <w:multiLevelType w:val="hybridMultilevel"/>
    <w:lvl w:ilvl="0" w:tplc="293157BD">
      <w:start w:val="1"/>
      <w:numFmt w:val="bullet"/>
      <w:suff w:val="tab"/>
      <w:lvlText w:val=""/>
      <w:lvlJc w:val="left"/>
      <w:pPr>
        <w:ind w:hanging="360" w:left="720"/>
        <w:tabs>
          <w:tab w:val="left" w:pos="720" w:leader="none"/>
        </w:tabs>
      </w:pPr>
      <w:rPr>
        <w:rFonts w:ascii="Symbol" w:hAnsi="Symbol"/>
      </w:rPr>
    </w:lvl>
    <w:lvl w:ilvl="1" w:tplc="6982CD2A">
      <w:start w:val="1"/>
      <w:numFmt w:val="bullet"/>
      <w:suff w:val="tab"/>
      <w:lvlText w:val="o"/>
      <w:lvlJc w:val="left"/>
      <w:pPr>
        <w:ind w:hanging="360" w:left="1440"/>
        <w:tabs>
          <w:tab w:val="left" w:pos="1440" w:leader="none"/>
        </w:tabs>
      </w:pPr>
      <w:rPr>
        <w:rFonts w:ascii="Courier New" w:hAnsi="Courier New"/>
      </w:rPr>
    </w:lvl>
    <w:lvl w:ilvl="2" w:tplc="1D08E9D0">
      <w:start w:val="1"/>
      <w:numFmt w:val="bullet"/>
      <w:suff w:val="tab"/>
      <w:lvlText w:val=""/>
      <w:lvlJc w:val="left"/>
      <w:pPr>
        <w:ind w:hanging="360" w:left="2160"/>
        <w:tabs>
          <w:tab w:val="left" w:pos="2160" w:leader="none"/>
        </w:tabs>
      </w:pPr>
      <w:rPr>
        <w:rFonts w:ascii="Wingdings" w:hAnsi="Wingdings"/>
      </w:rPr>
    </w:lvl>
    <w:lvl w:ilvl="3" w:tplc="07164FB1">
      <w:start w:val="1"/>
      <w:numFmt w:val="bullet"/>
      <w:suff w:val="tab"/>
      <w:lvlText w:val=""/>
      <w:lvlJc w:val="left"/>
      <w:pPr>
        <w:ind w:hanging="360" w:left="2880"/>
        <w:tabs>
          <w:tab w:val="left" w:pos="2880" w:leader="none"/>
        </w:tabs>
      </w:pPr>
      <w:rPr>
        <w:rFonts w:ascii="Symbol" w:hAnsi="Symbol"/>
      </w:rPr>
    </w:lvl>
    <w:lvl w:ilvl="4" w:tplc="44171783">
      <w:start w:val="1"/>
      <w:numFmt w:val="bullet"/>
      <w:suff w:val="tab"/>
      <w:lvlText w:val="o"/>
      <w:lvlJc w:val="left"/>
      <w:pPr>
        <w:ind w:hanging="360" w:left="3600"/>
        <w:tabs>
          <w:tab w:val="left" w:pos="3600" w:leader="none"/>
        </w:tabs>
      </w:pPr>
      <w:rPr>
        <w:rFonts w:ascii="Courier New" w:hAnsi="Courier New"/>
      </w:rPr>
    </w:lvl>
    <w:lvl w:ilvl="5" w:tplc="428D85C0">
      <w:start w:val="1"/>
      <w:numFmt w:val="bullet"/>
      <w:suff w:val="tab"/>
      <w:lvlText w:val=""/>
      <w:lvlJc w:val="left"/>
      <w:pPr>
        <w:ind w:hanging="360" w:left="4320"/>
        <w:tabs>
          <w:tab w:val="left" w:pos="4320" w:leader="none"/>
        </w:tabs>
      </w:pPr>
      <w:rPr>
        <w:rFonts w:ascii="Wingdings" w:hAnsi="Wingdings"/>
      </w:rPr>
    </w:lvl>
    <w:lvl w:ilvl="6" w:tplc="5B393779">
      <w:start w:val="1"/>
      <w:numFmt w:val="bullet"/>
      <w:suff w:val="tab"/>
      <w:lvlText w:val=""/>
      <w:lvlJc w:val="left"/>
      <w:pPr>
        <w:ind w:hanging="360" w:left="5040"/>
        <w:tabs>
          <w:tab w:val="left" w:pos="5040" w:leader="none"/>
        </w:tabs>
      </w:pPr>
      <w:rPr>
        <w:rFonts w:ascii="Symbol" w:hAnsi="Symbol"/>
      </w:rPr>
    </w:lvl>
    <w:lvl w:ilvl="7" w:tplc="4CBC3E9E">
      <w:start w:val="1"/>
      <w:numFmt w:val="bullet"/>
      <w:suff w:val="tab"/>
      <w:lvlText w:val="o"/>
      <w:lvlJc w:val="left"/>
      <w:pPr>
        <w:ind w:hanging="360" w:left="5760"/>
        <w:tabs>
          <w:tab w:val="left" w:pos="5760" w:leader="none"/>
        </w:tabs>
      </w:pPr>
      <w:rPr>
        <w:rFonts w:ascii="Courier New" w:hAnsi="Courier New"/>
      </w:rPr>
    </w:lvl>
    <w:lvl w:ilvl="8" w:tplc="0F42DBB9">
      <w:start w:val="1"/>
      <w:numFmt w:val="bullet"/>
      <w:suff w:val="tab"/>
      <w:lvlText w:val=""/>
      <w:lvlJc w:val="left"/>
      <w:pPr>
        <w:ind w:hanging="360" w:left="6480"/>
        <w:tabs>
          <w:tab w:val="left" w:pos="6480" w:leader="none"/>
        </w:tabs>
      </w:pPr>
      <w:rPr>
        <w:rFonts w:ascii="Wingdings" w:hAnsi="Wingdings"/>
      </w:rPr>
    </w:lvl>
  </w:abstractNum>
  <w:abstractNum w:abstractNumId="7">
    <w:nsid w:val="2EA65353"/>
    <w:multiLevelType w:val="hybridMultilevel"/>
    <w:lvl w:ilvl="0" w:tplc="2989E749">
      <w:start w:val="1"/>
      <w:numFmt w:val="bullet"/>
      <w:suff w:val="tab"/>
      <w:lvlText w:val=""/>
      <w:lvlJc w:val="left"/>
      <w:pPr>
        <w:ind w:hanging="360" w:left="720"/>
        <w:tabs>
          <w:tab w:val="left" w:pos="720" w:leader="none"/>
        </w:tabs>
      </w:pPr>
      <w:rPr>
        <w:rFonts w:ascii="Symbol" w:hAnsi="Symbol"/>
      </w:rPr>
    </w:lvl>
    <w:lvl w:ilvl="1" w:tplc="2B252E6D">
      <w:start w:val="1"/>
      <w:numFmt w:val="bullet"/>
      <w:suff w:val="tab"/>
      <w:lvlText w:val="o"/>
      <w:lvlJc w:val="left"/>
      <w:pPr>
        <w:ind w:hanging="360" w:left="1440"/>
        <w:tabs>
          <w:tab w:val="left" w:pos="1440" w:leader="none"/>
        </w:tabs>
      </w:pPr>
      <w:rPr>
        <w:rFonts w:ascii="Courier New" w:hAnsi="Courier New"/>
      </w:rPr>
    </w:lvl>
    <w:lvl w:ilvl="2" w:tplc="0388344E">
      <w:start w:val="1"/>
      <w:numFmt w:val="bullet"/>
      <w:suff w:val="tab"/>
      <w:lvlText w:val=""/>
      <w:lvlJc w:val="left"/>
      <w:pPr>
        <w:ind w:hanging="360" w:left="2160"/>
        <w:tabs>
          <w:tab w:val="left" w:pos="2160" w:leader="none"/>
        </w:tabs>
      </w:pPr>
      <w:rPr>
        <w:rFonts w:ascii="Wingdings" w:hAnsi="Wingdings"/>
      </w:rPr>
    </w:lvl>
    <w:lvl w:ilvl="3" w:tplc="628E57C8">
      <w:start w:val="1"/>
      <w:numFmt w:val="bullet"/>
      <w:suff w:val="tab"/>
      <w:lvlText w:val=""/>
      <w:lvlJc w:val="left"/>
      <w:pPr>
        <w:ind w:hanging="360" w:left="2880"/>
        <w:tabs>
          <w:tab w:val="left" w:pos="2880" w:leader="none"/>
        </w:tabs>
      </w:pPr>
      <w:rPr>
        <w:rFonts w:ascii="Symbol" w:hAnsi="Symbol"/>
      </w:rPr>
    </w:lvl>
    <w:lvl w:ilvl="4" w:tplc="105C281B">
      <w:start w:val="1"/>
      <w:numFmt w:val="bullet"/>
      <w:suff w:val="tab"/>
      <w:lvlText w:val="o"/>
      <w:lvlJc w:val="left"/>
      <w:pPr>
        <w:ind w:hanging="360" w:left="3600"/>
        <w:tabs>
          <w:tab w:val="left" w:pos="3600" w:leader="none"/>
        </w:tabs>
      </w:pPr>
      <w:rPr>
        <w:rFonts w:ascii="Courier New" w:hAnsi="Courier New"/>
      </w:rPr>
    </w:lvl>
    <w:lvl w:ilvl="5" w:tplc="25E9580A">
      <w:start w:val="1"/>
      <w:numFmt w:val="bullet"/>
      <w:suff w:val="tab"/>
      <w:lvlText w:val=""/>
      <w:lvlJc w:val="left"/>
      <w:pPr>
        <w:ind w:hanging="360" w:left="4320"/>
        <w:tabs>
          <w:tab w:val="left" w:pos="4320" w:leader="none"/>
        </w:tabs>
      </w:pPr>
      <w:rPr>
        <w:rFonts w:ascii="Wingdings" w:hAnsi="Wingdings"/>
      </w:rPr>
    </w:lvl>
    <w:lvl w:ilvl="6" w:tplc="7C996D0D">
      <w:start w:val="1"/>
      <w:numFmt w:val="bullet"/>
      <w:suff w:val="tab"/>
      <w:lvlText w:val=""/>
      <w:lvlJc w:val="left"/>
      <w:pPr>
        <w:ind w:hanging="360" w:left="5040"/>
        <w:tabs>
          <w:tab w:val="left" w:pos="5040" w:leader="none"/>
        </w:tabs>
      </w:pPr>
      <w:rPr>
        <w:rFonts w:ascii="Symbol" w:hAnsi="Symbol"/>
      </w:rPr>
    </w:lvl>
    <w:lvl w:ilvl="7" w:tplc="14C4866B">
      <w:start w:val="1"/>
      <w:numFmt w:val="bullet"/>
      <w:suff w:val="tab"/>
      <w:lvlText w:val="o"/>
      <w:lvlJc w:val="left"/>
      <w:pPr>
        <w:ind w:hanging="360" w:left="5760"/>
        <w:tabs>
          <w:tab w:val="left" w:pos="5760" w:leader="none"/>
        </w:tabs>
      </w:pPr>
      <w:rPr>
        <w:rFonts w:ascii="Courier New" w:hAnsi="Courier New"/>
      </w:rPr>
    </w:lvl>
    <w:lvl w:ilvl="8" w:tplc="5509226A">
      <w:start w:val="1"/>
      <w:numFmt w:val="bullet"/>
      <w:suff w:val="tab"/>
      <w:lvlText w:val=""/>
      <w:lvlJc w:val="left"/>
      <w:pPr>
        <w:ind w:hanging="360" w:left="6480"/>
        <w:tabs>
          <w:tab w:val="left" w:pos="6480" w:leader="none"/>
        </w:tabs>
      </w:pPr>
      <w:rPr>
        <w:rFonts w:ascii="Wingdings" w:hAnsi="Wingdings"/>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9"/>
  </w:num>
  <w:num w:numId="8">
    <w:abstractNumId w:val="2"/>
  </w:num>
  <w:num w:numId="9">
    <w:abstractNumId w:val="13"/>
  </w:num>
  <w:num w:numId="10">
    <w:abstractNumId w:val="8"/>
  </w:num>
  <w:num w:numId="11">
    <w:abstractNumId w:val="3"/>
  </w:num>
  <w:num w:numId="12">
    <w:abstractNumId w:val="1"/>
  </w:num>
  <w:num w:numId="13">
    <w:abstractNumId w:val="6"/>
  </w:num>
  <w:num w:numId="14">
    <w:abstractNumId w:val="7"/>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spacing w:before="160"/>
      <w:contextualSpacing w:val="1"/>
      <w:outlineLvl w:val="0"/>
    </w:pPr>
    <w:rPr>
      <w:rFonts w:ascii="Calibri" w:hAnsi="Calibri"/>
      <w:caps w:val="1"/>
    </w:rPr>
  </w:style>
  <w:style w:type="paragraph" w:styleId="P36">
    <w:name w:val="Heading 2"/>
    <w:basedOn w:val="P22"/>
    <w:next w:val="P0"/>
    <w:link w:val="C10"/>
    <w:qFormat/>
    <w:pPr>
      <w:numPr>
        <w:ilvl w:val="1"/>
        <w:numId w:val="23"/>
      </w:numPr>
      <w:spacing w:before="80"/>
      <w:contextualSpacing w:val="1"/>
      <w:outlineLvl w:val="1"/>
    </w:pPr>
    <w:rPr>
      <w:rFonts w:ascii="Calibri" w:hAnsi="Calibri"/>
      <w:u w:val="single"/>
    </w:rPr>
  </w:style>
  <w:style w:type="paragraph" w:styleId="P37">
    <w:name w:val="Heading 3"/>
    <w:basedOn w:val="P22"/>
    <w:next w:val="P37"/>
    <w:link w:val="C7"/>
    <w:qFormat/>
    <w:pPr>
      <w:numPr>
        <w:ilvl w:val="2"/>
        <w:numId w:val="23"/>
      </w:numPr>
      <w:contextualSpacing w:val="1"/>
      <w:outlineLvl w:val="2"/>
    </w:pPr>
    <w:rPr/>
  </w:style>
  <w:style w:type="paragraph" w:styleId="P38">
    <w:name w:val="Heading 4"/>
    <w:basedOn w:val="P22"/>
    <w:next w:val="P38"/>
    <w:link w:val="C11"/>
    <w:qFormat/>
    <w:pPr>
      <w:numPr>
        <w:ilvl w:val="3"/>
        <w:numId w:val="23"/>
      </w:numPr>
      <w:contextualSpacing w:val="1"/>
      <w:outlineLvl w:val="3"/>
    </w:pPr>
    <w:rPr/>
  </w:style>
  <w:style w:type="paragraph" w:styleId="P39">
    <w:name w:val="Heading 7"/>
    <w:basedOn w:val="P22"/>
    <w:next w:val="P0"/>
    <w:link w:val="C14"/>
    <w:qFormat/>
    <w:pPr>
      <w:numPr>
        <w:ilvl w:val="6"/>
        <w:numId w:val="23"/>
      </w:numPr>
      <w:contextualSpacing w:val="1"/>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tabs>
        <w:tab w:val="clear" w:pos="360" w:leader="none"/>
        <w:tab w:val="left" w:pos="5040" w:leader="none"/>
      </w:tabs>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style>
  <w:style w:type="character" w:styleId="C8">
    <w:name w:val="Heading 3 Char1"/>
    <w:rPr>
      <w:rFonts w:ascii="Arial" w:hAnsi="Arial"/>
    </w:rPr>
  </w:style>
  <w:style w:type="character" w:styleId="C9">
    <w:name w:val="Heading 1 Char"/>
    <w:link w:val="P35"/>
    <w:rPr>
      <w:rFonts w:ascii="Calibri" w:hAnsi="Calibri"/>
      <w:caps w:val="1"/>
    </w:rPr>
  </w:style>
  <w:style w:type="character" w:styleId="C10">
    <w:name w:val="Heading 2 Char"/>
    <w:link w:val="P36"/>
    <w:rPr>
      <w:rFonts w:ascii="Calibri" w:hAnsi="Calibri"/>
      <w:u w:val="single"/>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2015-10-19T13:19:00Z</dcterms:created>
  <cp:lastModifiedBy>Ray</cp:lastModifiedBy>
  <cp:lastPrinted>2007-10-29T16:40:00Z</cp:lastPrinted>
  <dcterms:modified xsi:type="dcterms:W3CDTF">2022-10-04T19:38:51Z</dcterms:modified>
  <cp:revision>5</cp:revision>
  <dc:title>04051_Masonry_Procedures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04 - Masonry/04051 Masonry Procedures.DOC</vt:lpwstr>
  </property>
  <property fmtid="{D5CDD505-2E9C-101B-9397-08002B2CF9AE}" pid="7" name="Order">
    <vt:lpwstr>243100.000000000</vt:lpwstr>
  </property>
  <property fmtid="{D5CDD505-2E9C-101B-9397-08002B2CF9AE}" pid="8" name="Sort Order">
    <vt:lpwstr/>
  </property>
  <property fmtid="{D5CDD505-2E9C-101B-9397-08002B2CF9AE}" pid="9" name="Document Type">
    <vt:lpwstr>Technical Design Specification Templates</vt:lpwstr>
  </property>
</Properties>
</file>