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0B5F8C" Type="http://schemas.openxmlformats.org/officeDocument/2006/relationships/officeDocument" Target="word/document.xml"/><Relationship Id="coreR460B5F8C" Type="http://schemas.openxmlformats.org/package/2006/relationships/metadata/core-properties" Target="docProps/core.xml"/><Relationship Id="customR460B5F8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52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52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#626320</w:t>
            </w:r>
            <w:r>
              <w:rPr>
                <w:b w:val="1"/>
              </w:rPr>
              <w:t>8</w:t>
            </w:r>
            <w:r>
              <w:rPr>
                <w:b w:val="1"/>
              </w:rPr>
              <w:t xml:space="preserve">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52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0"/>
        <w:rPr>
          <w:rFonts w:ascii="Calibri" w:hAnsi="Calibri"/>
        </w:rPr>
      </w:pPr>
    </w:p>
    <w:p>
      <w:pPr>
        <w:pStyle w:val="P30"/>
        <w:rPr>
          <w:rFonts w:ascii="Calibri" w:hAnsi="Calibri"/>
        </w:rPr>
      </w:pPr>
      <w:r>
        <w:rPr>
          <w:rFonts w:ascii="Calibri" w:hAnsi="Calibri"/>
        </w:rPr>
        <w:br w:type="page"/>
      </w:r>
    </w:p>
    <w:p>
      <w:pPr>
        <w:pStyle w:val="P35"/>
        <w:tabs>
          <w:tab w:val="left" w:pos="1080" w:leader="none"/>
        </w:tabs>
        <w:ind w:hanging="1080" w:left="1080"/>
      </w:pPr>
      <w:r>
        <w:t xml:space="preserve">GEneral </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s>
        <w:ind w:hanging="709" w:left="1418"/>
      </w:pPr>
      <w:r>
        <w:t xml:space="preserve">Section [______ – ____________]:  Product requirements for ...[item]...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s>
        <w:ind w:hanging="709" w:left="1418"/>
      </w:pPr>
      <w:r>
        <w:t xml:space="preserve">Section [______ – ____________]:  [Optional short phrase indicating relationship]. [List Sections specifying related requirements.]</w:t>
      </w:r>
    </w:p>
    <w:p>
      <w:pPr>
        <w:pStyle w:val="P37"/>
        <w:tabs>
          <w:tab w:val="left" w:pos="1418" w:leader="none"/>
        </w:tabs>
        <w:ind w:hanging="709" w:left="1418"/>
        <w:rPr>
          <w:highlight w:val="yellow"/>
        </w:rPr>
      </w:pPr>
      <w:r>
        <w:rPr>
          <w:highlight w:val="yellow"/>
        </w:rPr>
        <w:t xml:space="preserve">Section 01060  – Regulatory Requirements</w:t>
      </w:r>
    </w:p>
    <w:p>
      <w:pPr>
        <w:pStyle w:val="P37"/>
        <w:tabs>
          <w:tab w:val="left" w:pos="1418" w:leader="none"/>
        </w:tabs>
        <w:ind w:hanging="709" w:left="1418"/>
        <w:rPr>
          <w:highlight w:val="yellow"/>
        </w:rPr>
      </w:pPr>
      <w:r>
        <w:rPr>
          <w:highlight w:val="yellow"/>
        </w:rPr>
        <w:t>Section 01300 – Submittals</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s>
        <w:ind w:hanging="709" w:left="1418"/>
      </w:pPr>
      <w:r>
        <w:t>[Comply with the latest edition of the following statutes, codes and standards and all amendments thereto.]</w:t>
      </w:r>
    </w:p>
    <w:p>
      <w:pPr>
        <w:pStyle w:val="P38"/>
        <w:tabs>
          <w:tab w:val="left" w:pos="2127" w:leader="none"/>
        </w:tabs>
        <w:ind w:hanging="709" w:left="2127"/>
      </w:pPr>
      <w:r>
        <w:t xml:space="preserve">CAN/CSA-A23.1-14/A23.2-14, Concrete Materials and Methods of Concrete Construction/ Test Methods and Standard Practices  for Concrete.</w:t>
      </w:r>
    </w:p>
    <w:p>
      <w:pPr>
        <w:pStyle w:val="P38"/>
        <w:tabs>
          <w:tab w:val="left" w:pos="2127" w:leader="none"/>
        </w:tabs>
        <w:ind w:hanging="709" w:left="2127"/>
      </w:pPr>
      <w:r>
        <w:t>CAN3-A370-14, Connectors for Masonry.</w:t>
      </w:r>
    </w:p>
    <w:p>
      <w:pPr>
        <w:pStyle w:val="P38"/>
        <w:tabs>
          <w:tab w:val="left" w:pos="2127" w:leader="none"/>
        </w:tabs>
        <w:ind w:hanging="709" w:left="2127"/>
      </w:pPr>
      <w:r>
        <w:t>CAN3-A371-14, Masonry Construction for Buildings.</w:t>
      </w:r>
    </w:p>
    <w:p>
      <w:pPr>
        <w:pStyle w:val="P38"/>
        <w:tabs>
          <w:tab w:val="left" w:pos="2127" w:leader="none"/>
        </w:tabs>
        <w:ind w:hanging="709" w:left="2127"/>
      </w:pPr>
      <w:r>
        <w:t>CSA G30.18-09 (R2014), Carbon Steel Bars for Concrete Reinforcement.</w:t>
      </w:r>
    </w:p>
    <w:p>
      <w:pPr>
        <w:pStyle w:val="P38"/>
        <w:tabs>
          <w:tab w:val="left" w:pos="2127" w:leader="none"/>
        </w:tabs>
        <w:ind w:hanging="709" w:left="2127"/>
      </w:pPr>
      <w:r>
        <w:t>CAN3-S304-14, Design of Masonry Structures.</w:t>
      </w:r>
    </w:p>
    <w:p>
      <w:pPr>
        <w:pStyle w:val="P38"/>
        <w:tabs>
          <w:tab w:val="left" w:pos="2127" w:leader="none"/>
        </w:tabs>
        <w:ind w:hanging="709" w:left="2127"/>
      </w:pPr>
      <w:r>
        <w:t>CSA W186-M1990 (R2012), Welding of Reinforcing Bars in Reinforced Concrete Construction.</w:t>
      </w:r>
    </w:p>
    <w:p>
      <w:pPr>
        <w:pStyle w:val="P38"/>
        <w:tabs>
          <w:tab w:val="left" w:pos="2127" w:leader="none"/>
        </w:tabs>
        <w:ind w:hanging="709" w:left="2127"/>
      </w:pPr>
      <w:r>
        <w:t>CSA A179-14, Mortar and Grout for Unit Masonry.</w:t>
      </w:r>
    </w:p>
    <w:p>
      <w:pPr>
        <w:pStyle w:val="P38"/>
        <w:tabs>
          <w:tab w:val="left" w:pos="2127" w:leader="none"/>
        </w:tabs>
        <w:ind w:hanging="709" w:left="2127"/>
      </w:pPr>
      <w:r>
        <w:t>ASTM A1064/A1064M-15, Standard Specification for Carbon-Steel Wire and Welded Wire Reinforcement, Plain and Deformed, For Concrete</w:t>
      </w:r>
    </w:p>
    <w:p>
      <w:pPr>
        <w:pStyle w:val="P38"/>
        <w:tabs>
          <w:tab w:val="left" w:pos="2127" w:leader="none"/>
        </w:tabs>
        <w:ind w:hanging="709" w:left="2127"/>
      </w:pPr>
      <w:r>
        <w:t xml:space="preserve">Reinforcing Steel Institute of Canada (RSIC), Reinforcing Steel Manual of Standard Practice </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tabs>
          <w:tab w:val="left" w:pos="1418"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tabs>
          <w:tab w:val="left" w:pos="1418" w:leader="none"/>
        </w:tabs>
        <w:ind w:left="720"/>
      </w:pPr>
    </w:p>
    <w:p>
      <w:pPr>
        <w:pStyle w:val="P36"/>
      </w:pPr>
      <w:r>
        <w:t>Quality Assurance</w:t>
      </w:r>
    </w:p>
    <w:p>
      <w:pPr>
        <w:pStyle w:val="P37"/>
        <w:tabs>
          <w:tab w:val="left" w:pos="1418" w:leader="none"/>
        </w:tabs>
        <w:ind w:hanging="709" w:left="1418"/>
      </w:pPr>
      <w:r>
        <w:t>Test Reports: certified test reports showing compliance with the specified performance characteristics and physical properties.</w:t>
      </w:r>
    </w:p>
    <w:p>
      <w:pPr>
        <w:pStyle w:val="P37"/>
        <w:tabs>
          <w:tab w:val="left" w:pos="1418"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s>
        <w:ind w:hanging="709" w:left="1418"/>
        <w:rPr>
          <w:highlight w:val="yellow"/>
        </w:rPr>
      </w:pPr>
      <w:r>
        <w:t xml:space="preserve">Pre-Installation Meetings: conduct pre-installation meetings to verify Contract Work requirements, manufacturer’s installation instructions and manufacturer’s warranty requirements. Comply with the requirements of </w:t>
      </w:r>
      <w:r>
        <w:rPr>
          <w:highlight w:val="yellow"/>
        </w:rPr>
        <w:t>Section [</w:t>
      </w:r>
      <w:r>
        <w:rPr>
          <w:u w:val="single"/>
          <w:highlight w:val="yellow"/>
        </w:rPr>
        <w:t>       ].</w:t>
      </w:r>
      <w:r>
        <w:rPr>
          <w:i w:val="1"/>
          <w:u w:val="single"/>
          <w:highlight w:val="yellow"/>
        </w:rPr>
        <w:t xml:space="preserve"> [Consultant to amend with details as required]</w:t>
      </w:r>
    </w:p>
    <w:p>
      <w:pPr>
        <w:pStyle w:val="P36"/>
      </w:pPr>
      <w:r>
        <w:t>Submittals</w:t>
      </w:r>
    </w:p>
    <w:p>
      <w:pPr>
        <w:pStyle w:val="P37"/>
        <w:tabs>
          <w:tab w:val="left" w:pos="1418"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8"/>
        <w:tabs>
          <w:tab w:val="left" w:pos="2127" w:leader="none"/>
        </w:tabs>
        <w:ind w:hanging="709" w:left="2127"/>
      </w:pPr>
      <w:r>
        <w:t>Submit [</w:t>
      </w:r>
      <w:r>
        <w:rPr>
          <w:highlight w:val="yellow"/>
        </w:rPr>
        <w:t>two] [     ]</w:t>
      </w:r>
      <w:r>
        <w:t xml:space="preserve"> copies of WHIMIS MSDS – Material Safety Data Sheets in accordance with </w:t>
      </w:r>
      <w:r>
        <w:rPr>
          <w:highlight w:val="yellow"/>
        </w:rPr>
        <w:t>Section 01300 – Submittals</w:t>
      </w:r>
      <w:r>
        <w:t>.</w:t>
      </w:r>
    </w:p>
    <w:p>
      <w:pPr>
        <w:pStyle w:val="P37"/>
        <w:tabs>
          <w:tab w:val="left" w:pos="1418" w:leader="none"/>
        </w:tabs>
        <w:ind w:hanging="709" w:left="1418"/>
      </w:pPr>
      <w:r>
        <w:t>Shop Drawings:</w:t>
      </w:r>
    </w:p>
    <w:p>
      <w:pPr>
        <w:pStyle w:val="P38"/>
        <w:tabs>
          <w:tab w:val="left" w:pos="2127" w:leader="none"/>
        </w:tabs>
        <w:ind w:hanging="709" w:left="2127"/>
      </w:pPr>
      <w:r>
        <w:t xml:space="preserve">Submit shop drawings in accordance with </w:t>
      </w:r>
      <w:r>
        <w:rPr>
          <w:highlight w:val="yellow"/>
        </w:rPr>
        <w:t>Section 01300 - Submittals</w:t>
      </w:r>
      <w:r>
        <w:t>.</w:t>
      </w:r>
    </w:p>
    <w:p>
      <w:pPr>
        <w:pStyle w:val="P38"/>
        <w:tabs>
          <w:tab w:val="left" w:pos="2127" w:leader="none"/>
        </w:tabs>
        <w:ind w:hanging="709" w:left="2127"/>
      </w:pPr>
      <w:r>
        <w:t>Shop drawings consist of bar bending details, lists and placing drawings.</w:t>
      </w:r>
    </w:p>
    <w:p>
      <w:pPr>
        <w:pStyle w:val="P38"/>
        <w:tabs>
          <w:tab w:val="left" w:pos="2127" w:leader="none"/>
        </w:tabs>
        <w:ind w:hanging="709" w:left="2127"/>
      </w:pPr>
      <w:r>
        <w:t>On placing drawings, indicate the sizes, spacing, location and quantities of reinforcement and connectors.</w:t>
      </w:r>
    </w:p>
    <w:p>
      <w:pPr>
        <w:pStyle w:val="P37"/>
        <w:tabs>
          <w:tab w:val="left" w:pos="1418"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5"/>
      </w:pPr>
      <w:r>
        <w:t>products</w:t>
      </w:r>
    </w:p>
    <w:p>
      <w:pPr>
        <w:pStyle w:val="P36"/>
      </w:pPr>
      <w:r>
        <w:t>Materials</w:t>
      </w:r>
    </w:p>
    <w:p>
      <w:pPr>
        <w:pStyle w:val="P37"/>
        <w:tabs>
          <w:tab w:val="left" w:pos="1418" w:leader="none"/>
        </w:tabs>
        <w:ind w:hanging="709" w:left="1418"/>
      </w:pPr>
      <w:r>
        <w:t xml:space="preserve">Bar reinforcement: in accordance with CSA A371-14 and CSA G30.18-09 (R2012), Grade </w:t>
      </w:r>
      <w:r>
        <w:rPr>
          <w:highlight w:val="yellow"/>
        </w:rPr>
        <w:t>[400].</w:t>
      </w:r>
    </w:p>
    <w:p>
      <w:pPr>
        <w:pStyle w:val="P37"/>
        <w:tabs>
          <w:tab w:val="left" w:pos="1418" w:leader="none"/>
        </w:tabs>
        <w:ind w:hanging="709" w:left="1418"/>
      </w:pPr>
      <w:r>
        <w:t xml:space="preserve">Wire reinforcement: in accordance with CSA A371-14 and CSA G30.14, </w:t>
      </w:r>
      <w:r>
        <w:rPr>
          <w:highlight w:val="yellow"/>
        </w:rPr>
        <w:t>[ladder] [truss]</w:t>
      </w:r>
      <w:r>
        <w:t xml:space="preserve"> type.</w:t>
      </w:r>
    </w:p>
    <w:p>
      <w:pPr>
        <w:pStyle w:val="P37"/>
        <w:tabs>
          <w:tab w:val="left" w:pos="1418" w:leader="none"/>
        </w:tabs>
        <w:ind w:hanging="709" w:left="1418"/>
      </w:pPr>
      <w:r>
        <w:t>Connectors: in accordance with CSA A370-14 and CSA S304-14.</w:t>
      </w:r>
    </w:p>
    <w:p>
      <w:pPr>
        <w:pStyle w:val="P37"/>
        <w:tabs>
          <w:tab w:val="left" w:pos="1418" w:leader="none"/>
        </w:tabs>
        <w:ind w:hanging="709" w:left="1418"/>
      </w:pPr>
      <w:r>
        <w:t>Corrosion protection: in accordance with CSA S304-14, galvanized.</w:t>
      </w:r>
    </w:p>
    <w:p>
      <w:pPr>
        <w:pStyle w:val="P36"/>
      </w:pPr>
      <w:r>
        <w:t>Fabrication</w:t>
      </w:r>
    </w:p>
    <w:p>
      <w:pPr>
        <w:pStyle w:val="P37"/>
        <w:tabs>
          <w:tab w:val="left" w:pos="1418" w:leader="none"/>
        </w:tabs>
        <w:ind w:hanging="709" w:left="1418"/>
      </w:pPr>
      <w:r>
        <w:t>Fabricate reinforcing in accordance with CSA-A23.1-14 and the Reinforcing Steel Manual of Standard Practice by the Reinforcing Steel Institute of Canada (RSIC).</w:t>
      </w:r>
    </w:p>
    <w:p>
      <w:pPr>
        <w:pStyle w:val="P37"/>
        <w:tabs>
          <w:tab w:val="left" w:pos="1418" w:leader="none"/>
        </w:tabs>
        <w:ind w:hanging="709" w:left="1418"/>
      </w:pPr>
      <w:r>
        <w:t>Fabricate connectors in accordance with CAN3-A370-14.</w:t>
      </w:r>
    </w:p>
    <w:p>
      <w:pPr>
        <w:pStyle w:val="P37"/>
        <w:tabs>
          <w:tab w:val="left" w:pos="1418" w:leader="none"/>
        </w:tabs>
        <w:ind w:hanging="709" w:left="1418"/>
      </w:pPr>
      <w:r>
        <w:t>Obtain the Consultant’s approval for the locations of reinforcement splices other than as shown on the placing drawings.</w:t>
      </w:r>
    </w:p>
    <w:p>
      <w:pPr>
        <w:pStyle w:val="P37"/>
        <w:tabs>
          <w:tab w:val="left" w:pos="1418" w:leader="none"/>
        </w:tabs>
        <w:ind w:hanging="709" w:left="1418"/>
      </w:pPr>
      <w:r>
        <w:t>Upon the approval of the Consultant, weld reinforcement in accordance with CSA W186-M1990 (R2012).</w:t>
      </w:r>
    </w:p>
    <w:p>
      <w:pPr>
        <w:pStyle w:val="P37"/>
        <w:tabs>
          <w:tab w:val="left" w:pos="1418" w:leader="none"/>
        </w:tabs>
        <w:ind w:hanging="709" w:left="1418"/>
      </w:pPr>
      <w:r>
        <w:t>Ship reinforcement and connectors, clearly identified in accordance with the Contract Drawings.</w:t>
      </w:r>
    </w:p>
    <w:p>
      <w:pPr>
        <w:pStyle w:val="P35"/>
      </w:pPr>
      <w:r>
        <w:t>execution</w:t>
      </w:r>
    </w:p>
    <w:p>
      <w:pPr>
        <w:pStyle w:val="P36"/>
      </w:pPr>
      <w:r>
        <w:t>General</w:t>
      </w:r>
    </w:p>
    <w:p>
      <w:pPr>
        <w:pStyle w:val="P37"/>
        <w:tabs>
          <w:tab w:val="left" w:pos="1418" w:leader="none"/>
        </w:tabs>
        <w:ind w:hanging="709" w:left="1418"/>
      </w:pPr>
      <w:r>
        <w:t>Supply and install masonry connectors and reinforcement in accordance with CAN3-A370-14, CAN3-A371-14, CAN/CSA-A23.1-14 and CAN3-S304-14 unless indicated otherwise in the Contract Documents.</w:t>
      </w:r>
    </w:p>
    <w:p>
      <w:pPr>
        <w:pStyle w:val="P37"/>
        <w:tabs>
          <w:tab w:val="left" w:pos="1418" w:leader="none"/>
        </w:tabs>
        <w:ind w:hanging="709" w:left="1418"/>
      </w:pPr>
      <w:r>
        <w:t xml:space="preserve">Prior to placing </w:t>
      </w:r>
      <w:r>
        <w:rPr>
          <w:highlight w:val="yellow"/>
        </w:rPr>
        <w:t>[concrete] [mortar], [grout],</w:t>
      </w:r>
      <w:r>
        <w:t xml:space="preserve"> obtain the Consultant’s approval of the placement of the reinforcement and connectors.</w:t>
      </w:r>
    </w:p>
    <w:p>
      <w:pPr>
        <w:pStyle w:val="P37"/>
        <w:tabs>
          <w:tab w:val="left" w:pos="1418" w:leader="none"/>
        </w:tabs>
        <w:ind w:hanging="709" w:left="1418"/>
      </w:pPr>
      <w:r>
        <w:t>Supply and install any additional reinforcement of masonry as indicated in the Contract Documents.</w:t>
      </w:r>
    </w:p>
    <w:p>
      <w:pPr>
        <w:pStyle w:val="P36"/>
      </w:pPr>
      <w:r>
        <w:t>Bonding and Tying</w:t>
      </w:r>
    </w:p>
    <w:p>
      <w:pPr>
        <w:pStyle w:val="P37"/>
        <w:tabs>
          <w:tab w:val="left" w:pos="1418" w:leader="none"/>
        </w:tabs>
        <w:ind w:hanging="709" w:left="1418"/>
      </w:pPr>
      <w:r>
        <w:t xml:space="preserve">Bond walls of two or more wythes using </w:t>
      </w:r>
      <w:r>
        <w:rPr>
          <w:highlight w:val="yellow"/>
        </w:rPr>
        <w:t>[metal]</w:t>
      </w:r>
      <w:r>
        <w:t xml:space="preserve"> connectors in accordance with the NBC, CAN3-S304-14, CAN3-A371-14 and as indicated in the Contract Documents.</w:t>
      </w:r>
    </w:p>
    <w:p>
      <w:pPr>
        <w:pStyle w:val="P37"/>
        <w:tabs>
          <w:tab w:val="left" w:pos="1418" w:leader="none"/>
        </w:tabs>
        <w:ind w:hanging="709" w:left="1418"/>
      </w:pPr>
      <w:r>
        <w:t>Tie masonry veneer to backing in accordance with the NBC, CAN3-S304-14, CAN3-A371-14 and as indicated in the Contract Documents.</w:t>
      </w:r>
    </w:p>
    <w:p>
      <w:pPr>
        <w:pStyle w:val="P36"/>
      </w:pPr>
      <w:r>
        <w:t>Reinforced Lintels and Bond Beams</w:t>
      </w:r>
    </w:p>
    <w:p>
      <w:pPr>
        <w:pStyle w:val="P37"/>
        <w:tabs>
          <w:tab w:val="left" w:pos="1418" w:leader="none"/>
        </w:tabs>
        <w:ind w:hanging="709" w:left="1418"/>
      </w:pPr>
      <w:r>
        <w:t>Reinforce masonry lintels and bond beams as indicated in the Contract Documents.</w:t>
      </w:r>
    </w:p>
    <w:p>
      <w:pPr>
        <w:pStyle w:val="P37"/>
        <w:tabs>
          <w:tab w:val="left" w:pos="1418" w:leader="none"/>
        </w:tabs>
        <w:ind w:hanging="709" w:left="1418"/>
      </w:pPr>
      <w:r>
        <w:t>Place and grout reinforcement in accordance with CAN3-S304-14.</w:t>
      </w:r>
    </w:p>
    <w:p>
      <w:pPr>
        <w:pStyle w:val="P36"/>
      </w:pPr>
      <w:r>
        <w:t>Grouting</w:t>
      </w:r>
    </w:p>
    <w:p>
      <w:pPr>
        <w:pStyle w:val="P37"/>
        <w:tabs>
          <w:tab w:val="left" w:pos="1418" w:leader="none"/>
        </w:tabs>
        <w:ind w:hanging="709" w:left="1418"/>
      </w:pPr>
      <w:r>
        <w:t>Grout masonry in accordance with CAN3-S304-14, CSA-A371-14 and CSA-A179-14 and as indicated in the Contract Documents.</w:t>
      </w:r>
    </w:p>
    <w:p>
      <w:pPr>
        <w:pStyle w:val="P36"/>
      </w:pPr>
      <w:r>
        <w:t>Metal Anchors</w:t>
      </w:r>
    </w:p>
    <w:p>
      <w:pPr>
        <w:pStyle w:val="P37"/>
        <w:tabs>
          <w:tab w:val="left" w:pos="1418" w:leader="none"/>
        </w:tabs>
        <w:ind w:hanging="709" w:left="1418"/>
      </w:pPr>
      <w:r>
        <w:t>Supply and install metal anchors as indicated in the Contract Documents.</w:t>
      </w:r>
    </w:p>
    <w:p>
      <w:pPr>
        <w:pStyle w:val="P36"/>
      </w:pPr>
      <w:r>
        <w:t xml:space="preserve">Lateral Support and Anchorage </w:t>
      </w:r>
    </w:p>
    <w:p>
      <w:pPr>
        <w:pStyle w:val="P37"/>
        <w:tabs>
          <w:tab w:val="left" w:pos="1418" w:leader="none"/>
        </w:tabs>
        <w:ind w:hanging="709" w:left="1418"/>
      </w:pPr>
      <w:r>
        <w:t>Supply and install lateral support and anchorage in accordance with CAN3-S304-14, CSA-A371-14 and CSA-A179-14and as indicated in the Contract Documents.</w:t>
      </w:r>
    </w:p>
    <w:p>
      <w:pPr>
        <w:pStyle w:val="P36"/>
      </w:pPr>
      <w:r>
        <w:t>Control Joints</w:t>
      </w:r>
    </w:p>
    <w:p>
      <w:pPr>
        <w:pStyle w:val="P37"/>
        <w:tabs>
          <w:tab w:val="left" w:pos="1418" w:leader="none"/>
        </w:tabs>
        <w:ind w:hanging="709" w:left="1418"/>
      </w:pPr>
      <w:r>
        <w:t>Terminate reinforcement 25 mm short of each side of control joints unless otherwise indicated in the Contract Documents.</w:t>
      </w:r>
    </w:p>
    <w:p>
      <w:pPr>
        <w:pStyle w:val="P36"/>
      </w:pPr>
      <w:r>
        <w:t>Field Bending</w:t>
      </w:r>
    </w:p>
    <w:p>
      <w:pPr>
        <w:pStyle w:val="P37"/>
        <w:tabs>
          <w:tab w:val="left" w:pos="1418" w:leader="none"/>
        </w:tabs>
        <w:ind w:hanging="709" w:left="1418"/>
      </w:pPr>
      <w:r>
        <w:t>Do not field bend reinforcement and connectors except where indicated in the Contract Documents or where authorized by the Consultant.</w:t>
      </w:r>
    </w:p>
    <w:p>
      <w:pPr>
        <w:pStyle w:val="P37"/>
        <w:tabs>
          <w:tab w:val="left" w:pos="1418" w:leader="none"/>
        </w:tabs>
        <w:ind w:hanging="709" w:left="1418"/>
      </w:pPr>
      <w:r>
        <w:t>When field bending is authorized, bend without heat, applying a slow and steady pressure.</w:t>
      </w:r>
    </w:p>
    <w:p>
      <w:pPr>
        <w:pStyle w:val="P37"/>
        <w:tabs>
          <w:tab w:val="left" w:pos="1418" w:leader="none"/>
        </w:tabs>
        <w:ind w:hanging="709" w:left="1418"/>
      </w:pPr>
      <w:r>
        <w:t>Replace bars and connectors which develop cracks or splits.</w:t>
      </w:r>
    </w:p>
    <w:p>
      <w:pPr>
        <w:pStyle w:val="P36"/>
      </w:pPr>
      <w:r>
        <w:t>Field Touch-up</w:t>
      </w:r>
    </w:p>
    <w:p>
      <w:pPr>
        <w:pStyle w:val="P37"/>
        <w:tabs>
          <w:tab w:val="left" w:pos="1418" w:leader="none"/>
        </w:tabs>
        <w:ind w:hanging="709" w:left="1418"/>
      </w:pPr>
      <w:r>
        <w:t>Touch up damaged and cut ends of epoxy coated or galvanized reinforcement steel and connectors with a compatible finish to provide a continuous coating.</w:t>
      </w:r>
    </w:p>
    <w:p>
      <w:pPr>
        <w:pStyle w:val="P36"/>
      </w:pPr>
      <w:r>
        <w:t>Cleaning</w:t>
      </w:r>
    </w:p>
    <w:p>
      <w:pPr>
        <w:pStyle w:val="P37"/>
        <w:tabs>
          <w:tab w:val="left" w:pos="1418" w:leader="none"/>
        </w:tabs>
        <w:ind w:hanging="709" w:left="1418"/>
      </w:pPr>
      <w:r>
        <w:t>Upon completion of installation, remove any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MASONRY REINFORCEMENT AND CONNECTORS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04080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MASONRY REINFORCEMENT AND CONNECTORS</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04080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MASONRY REINFORCEMENT AND CONNECTORS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23DB61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92E24A6"/>
    <w:multiLevelType w:val="hybridMultilevel"/>
    <w:lvl w:ilvl="0" w:tplc="0CABC5EC">
      <w:start w:val="1"/>
      <w:numFmt w:val="bullet"/>
      <w:suff w:val="tab"/>
      <w:lvlText w:val=""/>
      <w:lvlJc w:val="left"/>
      <w:pPr>
        <w:ind w:hanging="360" w:left="720"/>
        <w:tabs>
          <w:tab w:val="left" w:pos="720" w:leader="none"/>
        </w:tabs>
      </w:pPr>
      <w:rPr>
        <w:rFonts w:ascii="Symbol" w:hAnsi="Symbol"/>
      </w:rPr>
    </w:lvl>
    <w:lvl w:ilvl="1" w:tplc="20F503AC">
      <w:start w:val="1"/>
      <w:numFmt w:val="bullet"/>
      <w:suff w:val="tab"/>
      <w:lvlText w:val="o"/>
      <w:lvlJc w:val="left"/>
      <w:pPr>
        <w:ind w:hanging="360" w:left="1440"/>
        <w:tabs>
          <w:tab w:val="left" w:pos="1440" w:leader="none"/>
        </w:tabs>
      </w:pPr>
      <w:rPr>
        <w:rFonts w:ascii="Courier New" w:hAnsi="Courier New"/>
      </w:rPr>
    </w:lvl>
    <w:lvl w:ilvl="2" w:tplc="7FDC54FA">
      <w:start w:val="1"/>
      <w:numFmt w:val="bullet"/>
      <w:suff w:val="tab"/>
      <w:lvlText w:val=""/>
      <w:lvlJc w:val="left"/>
      <w:pPr>
        <w:ind w:hanging="360" w:left="2160"/>
        <w:tabs>
          <w:tab w:val="left" w:pos="2160" w:leader="none"/>
        </w:tabs>
      </w:pPr>
      <w:rPr>
        <w:rFonts w:ascii="Wingdings" w:hAnsi="Wingdings"/>
      </w:rPr>
    </w:lvl>
    <w:lvl w:ilvl="3" w:tplc="15CCC7A6">
      <w:start w:val="1"/>
      <w:numFmt w:val="bullet"/>
      <w:suff w:val="tab"/>
      <w:lvlText w:val=""/>
      <w:lvlJc w:val="left"/>
      <w:pPr>
        <w:ind w:hanging="360" w:left="2880"/>
        <w:tabs>
          <w:tab w:val="left" w:pos="2880" w:leader="none"/>
        </w:tabs>
      </w:pPr>
      <w:rPr>
        <w:rFonts w:ascii="Symbol" w:hAnsi="Symbol"/>
      </w:rPr>
    </w:lvl>
    <w:lvl w:ilvl="4" w:tplc="2B658D77">
      <w:start w:val="1"/>
      <w:numFmt w:val="bullet"/>
      <w:suff w:val="tab"/>
      <w:lvlText w:val="o"/>
      <w:lvlJc w:val="left"/>
      <w:pPr>
        <w:ind w:hanging="360" w:left="3600"/>
        <w:tabs>
          <w:tab w:val="left" w:pos="3600" w:leader="none"/>
        </w:tabs>
      </w:pPr>
      <w:rPr>
        <w:rFonts w:ascii="Courier New" w:hAnsi="Courier New"/>
      </w:rPr>
    </w:lvl>
    <w:lvl w:ilvl="5" w:tplc="3613A68A">
      <w:start w:val="1"/>
      <w:numFmt w:val="bullet"/>
      <w:suff w:val="tab"/>
      <w:lvlText w:val=""/>
      <w:lvlJc w:val="left"/>
      <w:pPr>
        <w:ind w:hanging="360" w:left="4320"/>
        <w:tabs>
          <w:tab w:val="left" w:pos="4320" w:leader="none"/>
        </w:tabs>
      </w:pPr>
      <w:rPr>
        <w:rFonts w:ascii="Wingdings" w:hAnsi="Wingdings"/>
      </w:rPr>
    </w:lvl>
    <w:lvl w:ilvl="6" w:tplc="77C50450">
      <w:start w:val="1"/>
      <w:numFmt w:val="bullet"/>
      <w:suff w:val="tab"/>
      <w:lvlText w:val=""/>
      <w:lvlJc w:val="left"/>
      <w:pPr>
        <w:ind w:hanging="360" w:left="5040"/>
        <w:tabs>
          <w:tab w:val="left" w:pos="5040" w:leader="none"/>
        </w:tabs>
      </w:pPr>
      <w:rPr>
        <w:rFonts w:ascii="Symbol" w:hAnsi="Symbol"/>
      </w:rPr>
    </w:lvl>
    <w:lvl w:ilvl="7" w:tplc="6F98865E">
      <w:start w:val="1"/>
      <w:numFmt w:val="bullet"/>
      <w:suff w:val="tab"/>
      <w:lvlText w:val="o"/>
      <w:lvlJc w:val="left"/>
      <w:pPr>
        <w:ind w:hanging="360" w:left="5760"/>
        <w:tabs>
          <w:tab w:val="left" w:pos="5760" w:leader="none"/>
        </w:tabs>
      </w:pPr>
      <w:rPr>
        <w:rFonts w:ascii="Courier New" w:hAnsi="Courier New"/>
      </w:rPr>
    </w:lvl>
    <w:lvl w:ilvl="8" w:tplc="7F61B08C">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710"/>
        <w:tabs>
          <w:tab w:val="left" w:pos="171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1026"/>
        <w:tabs>
          <w:tab w:val="left" w:pos="102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38D3F1D"/>
    <w:multiLevelType w:val="hybridMultilevel"/>
    <w:lvl w:ilvl="0" w:tplc="6EB2A31B">
      <w:start w:val="1"/>
      <w:numFmt w:val="bullet"/>
      <w:suff w:val="tab"/>
      <w:lvlText w:val=""/>
      <w:lvlJc w:val="left"/>
      <w:pPr>
        <w:ind w:hanging="360" w:left="720"/>
        <w:tabs>
          <w:tab w:val="left" w:pos="720" w:leader="none"/>
        </w:tabs>
      </w:pPr>
      <w:rPr>
        <w:rFonts w:ascii="Symbol" w:hAnsi="Symbol"/>
      </w:rPr>
    </w:lvl>
    <w:lvl w:ilvl="1" w:tplc="09A1AE36">
      <w:start w:val="1"/>
      <w:numFmt w:val="bullet"/>
      <w:suff w:val="tab"/>
      <w:lvlText w:val="o"/>
      <w:lvlJc w:val="left"/>
      <w:pPr>
        <w:ind w:hanging="360" w:left="1440"/>
        <w:tabs>
          <w:tab w:val="left" w:pos="1440" w:leader="none"/>
        </w:tabs>
      </w:pPr>
      <w:rPr>
        <w:rFonts w:ascii="Courier New" w:hAnsi="Courier New"/>
      </w:rPr>
    </w:lvl>
    <w:lvl w:ilvl="2" w:tplc="40D614BB">
      <w:start w:val="1"/>
      <w:numFmt w:val="bullet"/>
      <w:suff w:val="tab"/>
      <w:lvlText w:val=""/>
      <w:lvlJc w:val="left"/>
      <w:pPr>
        <w:ind w:hanging="360" w:left="2160"/>
        <w:tabs>
          <w:tab w:val="left" w:pos="2160" w:leader="none"/>
        </w:tabs>
      </w:pPr>
      <w:rPr>
        <w:rFonts w:ascii="Wingdings" w:hAnsi="Wingdings"/>
      </w:rPr>
    </w:lvl>
    <w:lvl w:ilvl="3" w:tplc="1DFAD2C6">
      <w:start w:val="1"/>
      <w:numFmt w:val="bullet"/>
      <w:suff w:val="tab"/>
      <w:lvlText w:val=""/>
      <w:lvlJc w:val="left"/>
      <w:pPr>
        <w:ind w:hanging="360" w:left="2880"/>
        <w:tabs>
          <w:tab w:val="left" w:pos="2880" w:leader="none"/>
        </w:tabs>
      </w:pPr>
      <w:rPr>
        <w:rFonts w:ascii="Symbol" w:hAnsi="Symbol"/>
      </w:rPr>
    </w:lvl>
    <w:lvl w:ilvl="4" w:tplc="1C3C415F">
      <w:start w:val="1"/>
      <w:numFmt w:val="bullet"/>
      <w:suff w:val="tab"/>
      <w:lvlText w:val="o"/>
      <w:lvlJc w:val="left"/>
      <w:pPr>
        <w:ind w:hanging="360" w:left="3600"/>
        <w:tabs>
          <w:tab w:val="left" w:pos="3600" w:leader="none"/>
        </w:tabs>
      </w:pPr>
      <w:rPr>
        <w:rFonts w:ascii="Courier New" w:hAnsi="Courier New"/>
      </w:rPr>
    </w:lvl>
    <w:lvl w:ilvl="5" w:tplc="05E4AF3F">
      <w:start w:val="1"/>
      <w:numFmt w:val="bullet"/>
      <w:suff w:val="tab"/>
      <w:lvlText w:val=""/>
      <w:lvlJc w:val="left"/>
      <w:pPr>
        <w:ind w:hanging="360" w:left="4320"/>
        <w:tabs>
          <w:tab w:val="left" w:pos="4320" w:leader="none"/>
        </w:tabs>
      </w:pPr>
      <w:rPr>
        <w:rFonts w:ascii="Wingdings" w:hAnsi="Wingdings"/>
      </w:rPr>
    </w:lvl>
    <w:lvl w:ilvl="6" w:tplc="718CDA52">
      <w:start w:val="1"/>
      <w:numFmt w:val="bullet"/>
      <w:suff w:val="tab"/>
      <w:lvlText w:val=""/>
      <w:lvlJc w:val="left"/>
      <w:pPr>
        <w:ind w:hanging="360" w:left="5040"/>
        <w:tabs>
          <w:tab w:val="left" w:pos="5040" w:leader="none"/>
        </w:tabs>
      </w:pPr>
      <w:rPr>
        <w:rFonts w:ascii="Symbol" w:hAnsi="Symbol"/>
      </w:rPr>
    </w:lvl>
    <w:lvl w:ilvl="7" w:tplc="50EF6A1F">
      <w:start w:val="1"/>
      <w:numFmt w:val="bullet"/>
      <w:suff w:val="tab"/>
      <w:lvlText w:val="o"/>
      <w:lvlJc w:val="left"/>
      <w:pPr>
        <w:ind w:hanging="360" w:left="5760"/>
        <w:tabs>
          <w:tab w:val="left" w:pos="5760" w:leader="none"/>
        </w:tabs>
      </w:pPr>
      <w:rPr>
        <w:rFonts w:ascii="Courier New" w:hAnsi="Courier New"/>
      </w:rPr>
    </w:lvl>
    <w:lvl w:ilvl="8" w:tplc="2E7A56A1">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3"/>
  </w:num>
  <w:num w:numId="10">
    <w:abstractNumId w:val="7"/>
  </w:num>
  <w:num w:numId="11">
    <w:abstractNumId w:val="4"/>
  </w:num>
  <w:num w:numId="12">
    <w:abstractNumId w:val="1"/>
  </w:num>
  <w:num w:numId="13">
    <w:abstractNumId w:val="3"/>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2015-10-19T13:25:00Z</dcterms:created>
  <cp:lastModifiedBy>Ray</cp:lastModifiedBy>
  <cp:lastPrinted>2007-02-28T20:28:00Z</cp:lastPrinted>
  <dcterms:modified xsi:type="dcterms:W3CDTF">2022-10-04T19:38:51Z</dcterms:modified>
  <cp:revision>3</cp:revision>
  <dc:title>04080_Masonry_Reinforcement_and_Connectors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