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B36000D" Type="http://schemas.openxmlformats.org/officeDocument/2006/relationships/officeDocument" Target="word/document.xml"/><Relationship Id="coreRB36000D" Type="http://schemas.openxmlformats.org/package/2006/relationships/metadata/core-properties" Target="docProps/core.xml"/><Relationship Id="customRB36000D"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19,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changes from Legal</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Added References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8</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First draft Phase 1 review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rPr>
                <w:b w:val="1"/>
              </w:rPr>
            </w:pPr>
            <w:r>
              <w:rPr>
                <w:b w:val="1"/>
              </w:rPr>
              <w:t>9</w:t>
            </w:r>
          </w:p>
        </w:tc>
        <w:tc>
          <w:tcPr>
            <w:tcW w:w="234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October 19,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Updated, Finalized Specification – Legal Reference eDOCS #6263209 v3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rPr>
                <w:b w:val="1"/>
              </w:rPr>
            </w:pPr>
          </w:p>
        </w:tc>
        <w:tc>
          <w:tcPr>
            <w:tcW w:w="2340" w:type="dxa"/>
            <w:tcBorders>
              <w:top w:val="single" w:sz="6" w:space="0" w:shadow="0" w:frame="0"/>
              <w:left w:val="single" w:sz="6" w:space="0" w:shadow="0" w:frame="0"/>
              <w:bottom w:val="single" w:sz="6" w:space="0" w:shadow="0" w:frame="0"/>
              <w:right w:val="single" w:sz="6" w:space="0" w:shadow="0" w:frame="0"/>
            </w:tcBorders>
          </w:tcPr>
          <w:p>
            <w:pPr>
              <w:rPr>
                <w:b w:val="1"/>
              </w:rPr>
            </w:pP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p>
        </w:tc>
      </w:tr>
    </w:tbl>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r>
        <w:rPr>
          <w:rFonts w:ascii="Calibri" w:hAnsi="Calibri"/>
        </w:rPr>
        <w:br w:type="page"/>
      </w:r>
    </w:p>
    <w:p>
      <w:pPr>
        <w:pStyle w:val="P35"/>
        <w:rPr>
          <w:rStyle w:val="C11"/>
        </w:rPr>
      </w:pPr>
      <w:r>
        <w:t>GEneral</w:t>
      </w:r>
    </w:p>
    <w:p>
      <w:pPr>
        <w:pStyle w:val="P36"/>
      </w:pPr>
      <w:r>
        <w:t>Related Sections</w:t>
      </w:r>
    </w:p>
    <w:p>
      <w:pPr>
        <w:pStyle w:val="P37"/>
        <w:numPr>
          <w:ilvl w:val="2"/>
          <w:numId w:val="0"/>
        </w:numPr>
        <w:tabs>
          <w:tab w:val="left" w:pos="709" w:leader="none"/>
        </w:tabs>
        <w:spacing w:before="80"/>
        <w:ind w:left="706"/>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4320"/>
      </w:pPr>
    </w:p>
    <w:p>
      <w:pPr>
        <w:pStyle w:val="P37"/>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4320"/>
      </w:pPr>
    </w:p>
    <w:p>
      <w:pPr>
        <w:pStyle w:val="P37"/>
        <w:numPr>
          <w:ilvl w:val="2"/>
          <w:numId w:val="0"/>
        </w:numPr>
        <w:tabs>
          <w:tab w:val="left" w:pos="709" w:leader="none"/>
        </w:tabs>
        <w:ind w:left="709"/>
        <w:rPr>
          <w:i w:val="1"/>
        </w:rPr>
      </w:pPr>
      <w:r>
        <w:rPr>
          <w:i w:val="1"/>
          <w:highlight w:val="yellow"/>
        </w:rPr>
        <w:t>[List Sections specifying related requirements.]</w:t>
      </w:r>
    </w:p>
    <w:p>
      <w:pPr>
        <w:pStyle w:val="P37"/>
        <w:tabs>
          <w:tab w:val="left" w:pos="1418" w:leader="none"/>
          <w:tab w:val="clear" w:pos="1440" w:leader="none"/>
        </w:tabs>
        <w:ind w:hanging="709" w:left="1418"/>
      </w:pPr>
      <w:r>
        <w:t xml:space="preserve">Section </w:t>
      </w:r>
      <w:r>
        <w:rPr>
          <w:highlight w:val="yellow"/>
        </w:rPr>
        <w:t xml:space="preserve">[______ – ____________]:  [Optional short phrase indicating relationship].</w:t>
      </w:r>
    </w:p>
    <w:p>
      <w:pPr>
        <w:pStyle w:val="P37"/>
        <w:rPr>
          <w:highlight w:val="yellow"/>
        </w:rPr>
      </w:pPr>
      <w:r>
        <w:rPr>
          <w:highlight w:val="yellow"/>
        </w:rPr>
        <w:t xml:space="preserve">Section 01060  – Regulatory Requirements</w:t>
      </w:r>
    </w:p>
    <w:p>
      <w:pPr>
        <w:pStyle w:val="P37"/>
        <w:rPr>
          <w:highlight w:val="yellow"/>
        </w:rPr>
      </w:pPr>
      <w:r>
        <w:rPr>
          <w:highlight w:val="yellow"/>
        </w:rPr>
        <w:t>Section 01300 – Submittals</w:t>
      </w:r>
    </w:p>
    <w:p>
      <w:pPr>
        <w:pStyle w:val="P37"/>
        <w:rPr>
          <w:highlight w:val="yellow"/>
        </w:rPr>
      </w:pPr>
      <w:r>
        <w:rPr>
          <w:highlight w:val="yellow"/>
        </w:rPr>
        <w:t>Division 1 – General Requirements</w:t>
      </w:r>
    </w:p>
    <w:p>
      <w:pPr>
        <w:pStyle w:val="P36"/>
      </w:pPr>
      <w:r>
        <w:t>References</w:t>
      </w:r>
    </w:p>
    <w:p>
      <w:pPr>
        <w:pStyle w:val="P1"/>
        <w:ind w:left="709"/>
        <w:rPr>
          <w:rFonts w:ascii="Calibri" w:hAnsi="Calibri"/>
          <w:i w:val="1"/>
        </w:rPr>
      </w:pPr>
      <w:r>
        <w:rPr>
          <w:rFonts w:ascii="Calibri" w:hAnsi="Calibri"/>
          <w:i w:val="1"/>
          <w:highlight w:val="yellow"/>
        </w:rPr>
        <w:t>[Delete .1 if Section 01060 – Regulatory Requirements is included in Contract Documents.]</w:t>
      </w:r>
    </w:p>
    <w:p>
      <w:pPr>
        <w:pStyle w:val="P37"/>
        <w:tabs>
          <w:tab w:val="left" w:pos="1418" w:leader="none"/>
          <w:tab w:val="clear" w:pos="1440" w:leader="none"/>
        </w:tabs>
        <w:ind w:hanging="709" w:left="1418"/>
      </w:pPr>
      <w:r>
        <w:t>Comply with the latest edition of the following statutes, codes, standards, and all amendments thereto:</w:t>
      </w:r>
    </w:p>
    <w:p>
      <w:pPr>
        <w:pStyle w:val="P38"/>
        <w:tabs>
          <w:tab w:val="left" w:pos="2127" w:leader="none"/>
        </w:tabs>
        <w:ind w:hanging="709" w:left="2127"/>
      </w:pPr>
      <w:r>
        <w:t>American Society for Testing and Materials International, (ASTM).</w:t>
      </w:r>
    </w:p>
    <w:p>
      <w:pPr>
        <w:pStyle w:val="P45"/>
        <w:tabs>
          <w:tab w:val="left" w:pos="2835" w:leader="none"/>
        </w:tabs>
        <w:ind w:hanging="708" w:left="2835"/>
      </w:pPr>
      <w:r>
        <w:t>ASTM D2240-05 (2010), Standard Test Method for Rubber Property - Durometer Hardness.</w:t>
      </w:r>
    </w:p>
    <w:p>
      <w:pPr>
        <w:pStyle w:val="P38"/>
        <w:tabs>
          <w:tab w:val="left" w:pos="2127" w:leader="none"/>
        </w:tabs>
        <w:ind w:hanging="709" w:left="2127"/>
      </w:pPr>
      <w:r>
        <w:t>Canadian Standards Association (CSA International).</w:t>
      </w:r>
    </w:p>
    <w:p>
      <w:pPr>
        <w:pStyle w:val="P45"/>
        <w:tabs>
          <w:tab w:val="left" w:pos="2835" w:leader="none"/>
        </w:tabs>
        <w:ind w:hanging="708" w:left="2835"/>
      </w:pPr>
      <w:r>
        <w:t>CSA A371-14, Masonry Construction for Buildings.</w:t>
      </w:r>
    </w:p>
    <w:p>
      <w:pPr>
        <w:pStyle w:val="P36"/>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ind w:left="720"/>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6"/>
      </w:pPr>
      <w:r>
        <w:t>Submittals</w:t>
      </w:r>
    </w:p>
    <w:p>
      <w:pPr>
        <w:pStyle w:val="P37"/>
        <w:tabs>
          <w:tab w:val="left" w:pos="1418" w:leader="none"/>
          <w:tab w:val="clear" w:pos="1440" w:leader="none"/>
        </w:tabs>
        <w:ind w:hanging="709" w:left="1418"/>
      </w:pPr>
      <w:r>
        <w:t>Product Data:</w:t>
      </w:r>
    </w:p>
    <w:p>
      <w:pPr>
        <w:pStyle w:val="P38"/>
        <w:tabs>
          <w:tab w:val="left" w:pos="2127" w:leader="none"/>
        </w:tabs>
        <w:ind w:hanging="709" w:left="2127"/>
        <w:rPr>
          <w:i w:val="1"/>
        </w:rPr>
      </w:pPr>
      <w:r>
        <w:t xml:space="preserve">Submit manufacturer's printed Product literature, specifications and data sheets in accordance with Section </w:t>
      </w:r>
      <w:r>
        <w:rPr>
          <w:highlight w:val="yellow"/>
        </w:rPr>
        <w:t xml:space="preserve">[01300 - Submittals]. </w:t>
      </w:r>
      <w:r>
        <w:rPr>
          <w:i w:val="1"/>
          <w:highlight w:val="yellow"/>
        </w:rPr>
        <w:t>[</w:t>
      </w:r>
      <w:r>
        <w:rPr>
          <w:i w:val="1"/>
          <w:highlight w:val="yellow"/>
        </w:rPr>
        <w:t>Consultant to amend as appropriate</w:t>
      </w:r>
      <w:r>
        <w:rPr>
          <w:i w:val="1"/>
          <w:highlight w:val="yellow"/>
        </w:rPr>
        <w:t>]</w:t>
      </w:r>
    </w:p>
    <w:p>
      <w:pPr>
        <w:pStyle w:val="P38"/>
        <w:tabs>
          <w:tab w:val="left" w:pos="2127" w:leader="none"/>
        </w:tabs>
        <w:ind w:hanging="709" w:left="2127"/>
      </w:pPr>
      <w:r>
        <w:t xml:space="preserve">Submit </w:t>
      </w:r>
      <w:r>
        <w:rPr>
          <w:highlight w:val="yellow"/>
        </w:rPr>
        <w:t>[two] [___]</w:t>
      </w:r>
      <w:r>
        <w:t xml:space="preserve"> copies of WHMIS MSDS - Material Safety Data Sheets in accordance with Section </w:t>
      </w:r>
      <w:r>
        <w:rPr>
          <w:highlight w:val="yellow"/>
        </w:rPr>
        <w:t>[01300 - Submittals]</w:t>
      </w:r>
      <w:r>
        <w:t xml:space="preserve"> </w:t>
      </w:r>
      <w:r>
        <w:rPr>
          <w:highlight w:val="yellow"/>
        </w:rPr>
        <w:t>[___].</w:t>
      </w:r>
    </w:p>
    <w:p>
      <w:pPr>
        <w:pStyle w:val="P37"/>
        <w:tabs>
          <w:tab w:val="left" w:pos="1418" w:leader="none"/>
          <w:tab w:val="clear" w:pos="1440" w:leader="none"/>
        </w:tabs>
        <w:ind w:hanging="709" w:left="1418"/>
      </w:pPr>
      <w:r>
        <w:t>Manufacturer's Instructions:</w:t>
      </w:r>
    </w:p>
    <w:p>
      <w:pPr>
        <w:pStyle w:val="P38"/>
        <w:tabs>
          <w:tab w:val="left" w:pos="2127" w:leader="none"/>
        </w:tabs>
        <w:ind w:hanging="709" w:left="2127"/>
      </w:pPr>
      <w:r>
        <w:t>Submit the manufacturer's installation instructions.</w:t>
      </w:r>
    </w:p>
    <w:p>
      <w:pPr>
        <w:pStyle w:val="P36"/>
      </w:pPr>
      <w:r>
        <w:t>Quality Assurance</w:t>
      </w:r>
    </w:p>
    <w:p>
      <w:pPr>
        <w:pStyle w:val="P37"/>
        <w:tabs>
          <w:tab w:val="left" w:pos="1418" w:leader="none"/>
          <w:tab w:val="clear" w:pos="1440" w:leader="none"/>
        </w:tabs>
        <w:ind w:hanging="709" w:left="1418"/>
      </w:pPr>
      <w:r>
        <w:t xml:space="preserve">Test Reports:  Certified test reports showing compliance with the specified performance characteristics and physical properties.</w:t>
      </w:r>
    </w:p>
    <w:p>
      <w:pPr>
        <w:pStyle w:val="P37"/>
        <w:tabs>
          <w:tab w:val="left" w:pos="1418" w:leader="none"/>
          <w:tab w:val="clear" w:pos="1440" w:leader="none"/>
        </w:tabs>
        <w:ind w:hanging="709" w:left="1418"/>
      </w:pPr>
      <w:r>
        <w:t>Certificates: Product certificates signed by the manufacturer certifying that the materials comply with the specified performance characteristics and criteria and the physical requirements.</w:t>
      </w:r>
    </w:p>
    <w:p>
      <w:pPr>
        <w:pStyle w:val="P37"/>
        <w:tabs>
          <w:tab w:val="left" w:pos="1418" w:leader="none"/>
          <w:tab w:val="clear" w:pos="1440" w:leader="none"/>
        </w:tabs>
        <w:ind w:hanging="709" w:left="1418"/>
      </w:pPr>
      <w:r>
        <w:t>Pre-installation Meetings: Conduct pre-installation meetings to verify Contract Work requirements, manufacturer's installation instructions and manufacturer's warranty requirements. Comply with the requirements of Division 1 – General Requirements.</w:t>
      </w:r>
    </w:p>
    <w:p>
      <w:pPr>
        <w:pStyle w:val="P35"/>
      </w:pPr>
      <w:r>
        <w:t>PRODUCTS</w:t>
      </w:r>
    </w:p>
    <w:p>
      <w:pPr>
        <w:pStyle w:val="P36"/>
      </w:pPr>
      <w:r>
        <w:t>Materials</w:t>
      </w:r>
    </w:p>
    <w:p>
      <w:pPr>
        <w:pStyle w:val="P37"/>
        <w:tabs>
          <w:tab w:val="left" w:pos="1418" w:leader="none"/>
          <w:tab w:val="clear" w:pos="1440" w:leader="none"/>
        </w:tabs>
        <w:ind w:hanging="709" w:left="1418"/>
      </w:pPr>
      <w:r>
        <w:t>Control Joint Filler: purpose made elastome 40 durometer hardness in accordance with ASTM D 2240-05 (2012) of the size and shape indicated in the Contract Documents.</w:t>
      </w:r>
    </w:p>
    <w:p>
      <w:pPr>
        <w:pStyle w:val="P37"/>
        <w:tabs>
          <w:tab w:val="left" w:pos="1418" w:leader="none"/>
          <w:tab w:val="clear" w:pos="1440" w:leader="none"/>
        </w:tabs>
        <w:ind w:hanging="709" w:left="1418"/>
      </w:pPr>
      <w:r>
        <w:t>Lap Adhesive: as recommended by the masonry flashing manufacturer.</w:t>
      </w:r>
    </w:p>
    <w:p>
      <w:pPr>
        <w:pStyle w:val="P37"/>
        <w:tabs>
          <w:tab w:val="left" w:pos="1418" w:leader="none"/>
          <w:tab w:val="clear" w:pos="1440" w:leader="none"/>
        </w:tabs>
        <w:ind w:hanging="709" w:left="1418"/>
      </w:pPr>
      <w:r>
        <w:t xml:space="preserve">Weep Hole Vents: purpose </w:t>
      </w:r>
      <w:r>
        <w:rPr>
          <w:highlight w:val="yellow"/>
        </w:rPr>
        <w:t>made [PVC] [     ], colour [     ].</w:t>
      </w:r>
    </w:p>
    <w:p>
      <w:pPr>
        <w:pStyle w:val="P37"/>
        <w:tabs>
          <w:tab w:val="left" w:pos="1418" w:leader="none"/>
          <w:tab w:val="clear" w:pos="1440" w:leader="none"/>
        </w:tabs>
        <w:ind w:hanging="709" w:left="1418"/>
      </w:pPr>
      <w:r>
        <w:t xml:space="preserve">Mechanical Fasteners: </w:t>
      </w:r>
      <w:r>
        <w:rPr>
          <w:highlight w:val="yellow"/>
        </w:rPr>
        <w:t>[Consultant to provide three acceptable products]</w:t>
      </w:r>
    </w:p>
    <w:p>
      <w:pPr>
        <w:pStyle w:val="P37"/>
        <w:tabs>
          <w:tab w:val="left" w:pos="1418" w:leader="none"/>
          <w:tab w:val="clear" w:pos="1440" w:leader="none"/>
        </w:tabs>
        <w:ind w:hanging="709" w:left="1418"/>
      </w:pPr>
      <w:r>
        <w:t>Polyethylene Flashings:</w:t>
      </w:r>
    </w:p>
    <w:p>
      <w:pPr>
        <w:pStyle w:val="P38"/>
        <w:tabs>
          <w:tab w:val="left" w:pos="2127" w:leader="none"/>
        </w:tabs>
        <w:ind w:hanging="709" w:left="2127"/>
      </w:pPr>
      <w:r>
        <w:t xml:space="preserve">Reinforced: </w:t>
      </w:r>
      <w:r>
        <w:rPr>
          <w:highlight w:val="yellow"/>
        </w:rPr>
        <w:t>Two [.75]</w:t>
      </w:r>
      <w:r>
        <w:t xml:space="preserve"> mm thick polyethylene films bonded to each side of asphalt treated creped kraft paper, reinforced with 12.7 mm x 12.7 mm </w:t>
      </w:r>
      <w:r>
        <w:rPr>
          <w:highlight w:val="yellow"/>
        </w:rPr>
        <w:t>[     ]</w:t>
      </w:r>
      <w:r>
        <w:t xml:space="preserve"> of fibreglass scrim.</w:t>
      </w:r>
    </w:p>
    <w:p>
      <w:pPr>
        <w:pStyle w:val="P37"/>
        <w:tabs>
          <w:tab w:val="left" w:pos="1418" w:leader="none"/>
          <w:tab w:val="clear" w:pos="1440" w:leader="none"/>
        </w:tabs>
        <w:ind w:hanging="709" w:left="1418"/>
      </w:pPr>
      <w:r>
        <w:t>Aluminum Flashings:</w:t>
      </w:r>
    </w:p>
    <w:p>
      <w:pPr>
        <w:pStyle w:val="P38"/>
        <w:tabs>
          <w:tab w:val="left" w:pos="2127" w:leader="none"/>
        </w:tabs>
        <w:ind w:hanging="709" w:left="2127"/>
      </w:pPr>
      <w:r>
        <w:t>Aluminum foil, 0.004 mm thick, asphalt laminated between two sheets of creped kraft paper with one exposed paper surface coated with an asphalt-wax treatment.</w:t>
      </w:r>
    </w:p>
    <w:p>
      <w:pPr>
        <w:pStyle w:val="P35"/>
      </w:pPr>
      <w:r>
        <w:t>EXECUTION</w:t>
      </w:r>
    </w:p>
    <w:p>
      <w:pPr>
        <w:pStyle w:val="P36"/>
      </w:pPr>
      <w:r>
        <w:t>Manufacturer’s Instructions</w:t>
      </w:r>
    </w:p>
    <w:p>
      <w:pPr>
        <w:pStyle w:val="P37"/>
        <w:tabs>
          <w:tab w:val="left" w:pos="1418" w:leader="none"/>
          <w:tab w:val="clear" w:pos="1440" w:leader="none"/>
        </w:tabs>
        <w:ind w:hanging="709" w:left="1418"/>
      </w:pPr>
      <w:r>
        <w:t>Compliance: Comply with the manufacturer’s written data, including Product technical bulletins, Product catalogue installation instructions, Product carton installation instructions, and data sheets.</w:t>
      </w:r>
    </w:p>
    <w:p>
      <w:pPr>
        <w:pStyle w:val="P36"/>
      </w:pPr>
      <w:r>
        <w:t>Installation</w:t>
      </w:r>
    </w:p>
    <w:p>
      <w:pPr>
        <w:pStyle w:val="P37"/>
        <w:tabs>
          <w:tab w:val="left" w:pos="1418" w:leader="none"/>
          <w:tab w:val="clear" w:pos="1440" w:leader="none"/>
        </w:tabs>
        <w:ind w:hanging="709" w:left="1418"/>
      </w:pPr>
      <w:r>
        <w:t>Install continuous control joint fillers in control joints at the locations indicated in the Contract Documents.</w:t>
      </w:r>
    </w:p>
    <w:p>
      <w:pPr>
        <w:pStyle w:val="P37"/>
        <w:tabs>
          <w:tab w:val="left" w:pos="1418" w:leader="none"/>
          <w:tab w:val="clear" w:pos="1440" w:leader="none"/>
        </w:tabs>
        <w:ind w:hanging="709" w:left="1418"/>
      </w:pPr>
      <w:r>
        <w:t>Install weep hole vents in vertical joints immediately over flashings, in exterior wythes of cavity wall and masonry veneer wall construction, at a maximum horizontal spacing of 600 mm on centre.</w:t>
      </w:r>
    </w:p>
    <w:p>
      <w:pPr>
        <w:pStyle w:val="P36"/>
      </w:pPr>
      <w:r>
        <w:t>Construction</w:t>
      </w:r>
    </w:p>
    <w:p>
      <w:pPr>
        <w:pStyle w:val="P37"/>
        <w:tabs>
          <w:tab w:val="left" w:pos="1418" w:leader="none"/>
          <w:tab w:val="clear" w:pos="1440" w:leader="none"/>
        </w:tabs>
        <w:ind w:hanging="709" w:left="1418"/>
      </w:pPr>
      <w:r>
        <w:t>Build in flashings in masonry in accordance with [</w:t>
      </w:r>
      <w:r>
        <w:rPr>
          <w:highlight w:val="yellow"/>
        </w:rPr>
        <w:t>CAN3 A371-14</w:t>
      </w:r>
      <w:r>
        <w:t>] as follows:</w:t>
      </w:r>
    </w:p>
    <w:p>
      <w:pPr>
        <w:pStyle w:val="P38"/>
        <w:tabs>
          <w:tab w:val="left" w:pos="2127" w:leader="none"/>
        </w:tabs>
        <w:ind w:hanging="709" w:left="2127"/>
      </w:pPr>
      <w:r>
        <w:t>Install flashings under the exterior masonry bearing on foundation walls, slabs, shelf angles, and steel angles over openings. Install flashings under weep-hole courses and as indicated in the Contract Documents.</w:t>
      </w:r>
    </w:p>
    <w:p>
      <w:pPr>
        <w:pStyle w:val="P38"/>
        <w:tabs>
          <w:tab w:val="left" w:pos="2127" w:leader="none"/>
        </w:tabs>
        <w:ind w:hanging="709" w:left="2127"/>
      </w:pPr>
      <w:r>
        <w:t>In cavity walls and veneered walls, carry flashings from the front edge of the masonry, under the outer wythe, then up the backing a minimum of 150 mm, and as follows:</w:t>
      </w:r>
    </w:p>
    <w:p>
      <w:pPr>
        <w:pStyle w:val="P45"/>
        <w:tabs>
          <w:tab w:val="left" w:pos="2835" w:leader="none"/>
        </w:tabs>
        <w:ind w:hanging="708" w:left="2835"/>
      </w:pPr>
      <w:r>
        <w:t>For masonry backing embed flashing, 25 mm in the joint.</w:t>
      </w:r>
    </w:p>
    <w:p>
      <w:pPr>
        <w:pStyle w:val="P45"/>
        <w:tabs>
          <w:tab w:val="left" w:pos="2835" w:leader="none"/>
        </w:tabs>
        <w:ind w:hanging="708" w:left="2835"/>
      </w:pPr>
      <w:r>
        <w:t>For concrete backing, insert flashing into reglets.</w:t>
      </w:r>
    </w:p>
    <w:p>
      <w:pPr>
        <w:pStyle w:val="P45"/>
        <w:tabs>
          <w:tab w:val="left" w:pos="2835" w:leader="none"/>
        </w:tabs>
        <w:ind w:hanging="708" w:left="2835"/>
      </w:pPr>
      <w:r>
        <w:t>For wood frame backing, staple flashing to walls behind sheathing paper.</w:t>
      </w:r>
    </w:p>
    <w:p>
      <w:pPr>
        <w:pStyle w:val="P45"/>
        <w:tabs>
          <w:tab w:val="left" w:pos="2835" w:leader="none"/>
        </w:tabs>
        <w:ind w:hanging="708" w:left="2835"/>
      </w:pPr>
      <w:r>
        <w:t>For gypsum board backing, bond to the wall using the manufacturer's recommended adhesive.</w:t>
      </w:r>
    </w:p>
    <w:p>
      <w:pPr>
        <w:pStyle w:val="P38"/>
        <w:tabs>
          <w:tab w:val="left" w:pos="2127" w:leader="none"/>
        </w:tabs>
        <w:ind w:hanging="709" w:left="2127"/>
      </w:pPr>
      <w:r>
        <w:t>Lap joints 150 mm and seal with adhesive.</w:t>
      </w:r>
    </w:p>
    <w:p>
      <w:pPr>
        <w:pStyle w:val="P36"/>
      </w:pPr>
      <w:r>
        <w:t>Cleaning</w:t>
      </w:r>
    </w:p>
    <w:p>
      <w:pPr>
        <w:pStyle w:val="P37"/>
        <w:tabs>
          <w:tab w:val="left" w:pos="1418" w:leader="none"/>
          <w:tab w:val="clear" w:pos="1440" w:leader="none"/>
        </w:tabs>
        <w:ind w:hanging="709" w:left="1418"/>
      </w:pPr>
      <w:r>
        <w:t>Upon completion of installation, remove any surplus materials, rubbish, tools and equipment barriers.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04090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MASONRY ACCESSORIES</w:t>
    </w:r>
    <w:r>
      <w:tab/>
      <w:t>2012-07-03</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04090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MASONRY ACCESSORIES</w:t>
    </w:r>
    <w:r>
      <w:rPr>
        <w:rFonts w:ascii="Calibri (Body)" w:hAnsi="Calibri (Body)"/>
        <w:sz w:val="22"/>
      </w:rPr>
      <w:tab/>
      <w:t>2015-10-19</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04090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2015-10-19</w:t>
    </w:r>
    <w:r>
      <w:rPr>
        <w:rFonts w:ascii="Calibri (Body)" w:hAnsi="Calibri (Body)"/>
        <w:b w:val="1"/>
        <w:sz w:val="22"/>
      </w:rPr>
      <w:tab/>
      <w:t>MASONRY ACCESSORIES</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30DF1ED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63847D5"/>
    <w:multiLevelType w:val="hybridMultilevel"/>
    <w:lvl w:ilvl="0" w:tplc="7BED39A5">
      <w:start w:val="1"/>
      <w:numFmt w:val="bullet"/>
      <w:suff w:val="tab"/>
      <w:lvlText w:val=""/>
      <w:lvlJc w:val="left"/>
      <w:pPr>
        <w:ind w:hanging="360" w:left="720"/>
        <w:tabs>
          <w:tab w:val="left" w:pos="720" w:leader="none"/>
        </w:tabs>
      </w:pPr>
      <w:rPr>
        <w:rFonts w:ascii="Symbol" w:hAnsi="Symbol"/>
      </w:rPr>
    </w:lvl>
    <w:lvl w:ilvl="1" w:tplc="094A9537">
      <w:start w:val="1"/>
      <w:numFmt w:val="bullet"/>
      <w:suff w:val="tab"/>
      <w:lvlText w:val="o"/>
      <w:lvlJc w:val="left"/>
      <w:pPr>
        <w:ind w:hanging="360" w:left="1440"/>
        <w:tabs>
          <w:tab w:val="left" w:pos="1440" w:leader="none"/>
        </w:tabs>
      </w:pPr>
      <w:rPr>
        <w:rFonts w:ascii="Courier New" w:hAnsi="Courier New"/>
      </w:rPr>
    </w:lvl>
    <w:lvl w:ilvl="2" w:tplc="0B42A058">
      <w:start w:val="1"/>
      <w:numFmt w:val="bullet"/>
      <w:suff w:val="tab"/>
      <w:lvlText w:val=""/>
      <w:lvlJc w:val="left"/>
      <w:pPr>
        <w:ind w:hanging="360" w:left="2160"/>
        <w:tabs>
          <w:tab w:val="left" w:pos="2160" w:leader="none"/>
        </w:tabs>
      </w:pPr>
      <w:rPr>
        <w:rFonts w:ascii="Wingdings" w:hAnsi="Wingdings"/>
      </w:rPr>
    </w:lvl>
    <w:lvl w:ilvl="3" w:tplc="022DA0DC">
      <w:start w:val="1"/>
      <w:numFmt w:val="bullet"/>
      <w:suff w:val="tab"/>
      <w:lvlText w:val=""/>
      <w:lvlJc w:val="left"/>
      <w:pPr>
        <w:ind w:hanging="360" w:left="2880"/>
        <w:tabs>
          <w:tab w:val="left" w:pos="2880" w:leader="none"/>
        </w:tabs>
      </w:pPr>
      <w:rPr>
        <w:rFonts w:ascii="Symbol" w:hAnsi="Symbol"/>
      </w:rPr>
    </w:lvl>
    <w:lvl w:ilvl="4" w:tplc="2A971EBA">
      <w:start w:val="1"/>
      <w:numFmt w:val="bullet"/>
      <w:suff w:val="tab"/>
      <w:lvlText w:val="o"/>
      <w:lvlJc w:val="left"/>
      <w:pPr>
        <w:ind w:hanging="360" w:left="3600"/>
        <w:tabs>
          <w:tab w:val="left" w:pos="3600" w:leader="none"/>
        </w:tabs>
      </w:pPr>
      <w:rPr>
        <w:rFonts w:ascii="Courier New" w:hAnsi="Courier New"/>
      </w:rPr>
    </w:lvl>
    <w:lvl w:ilvl="5" w:tplc="63D2E500">
      <w:start w:val="1"/>
      <w:numFmt w:val="bullet"/>
      <w:suff w:val="tab"/>
      <w:lvlText w:val=""/>
      <w:lvlJc w:val="left"/>
      <w:pPr>
        <w:ind w:hanging="360" w:left="4320"/>
        <w:tabs>
          <w:tab w:val="left" w:pos="4320" w:leader="none"/>
        </w:tabs>
      </w:pPr>
      <w:rPr>
        <w:rFonts w:ascii="Wingdings" w:hAnsi="Wingdings"/>
      </w:rPr>
    </w:lvl>
    <w:lvl w:ilvl="6" w:tplc="2884A350">
      <w:start w:val="1"/>
      <w:numFmt w:val="bullet"/>
      <w:suff w:val="tab"/>
      <w:lvlText w:val=""/>
      <w:lvlJc w:val="left"/>
      <w:pPr>
        <w:ind w:hanging="360" w:left="5040"/>
        <w:tabs>
          <w:tab w:val="left" w:pos="5040" w:leader="none"/>
        </w:tabs>
      </w:pPr>
      <w:rPr>
        <w:rFonts w:ascii="Symbol" w:hAnsi="Symbol"/>
      </w:rPr>
    </w:lvl>
    <w:lvl w:ilvl="7" w:tplc="7C0EBD59">
      <w:start w:val="1"/>
      <w:numFmt w:val="bullet"/>
      <w:suff w:val="tab"/>
      <w:lvlText w:val="o"/>
      <w:lvlJc w:val="left"/>
      <w:pPr>
        <w:ind w:hanging="360" w:left="5760"/>
        <w:tabs>
          <w:tab w:val="left" w:pos="5760" w:leader="none"/>
        </w:tabs>
      </w:pPr>
      <w:rPr>
        <w:rFonts w:ascii="Courier New" w:hAnsi="Courier New"/>
      </w:rPr>
    </w:lvl>
    <w:lvl w:ilvl="8" w:tplc="29B65FEE">
      <w:start w:val="1"/>
      <w:numFmt w:val="bullet"/>
      <w:suff w:val="tab"/>
      <w:lvlText w:val=""/>
      <w:lvlJc w:val="left"/>
      <w:pPr>
        <w:ind w:hanging="360" w:left="6480"/>
        <w:tabs>
          <w:tab w:val="left" w:pos="6480" w:leader="none"/>
        </w:tabs>
      </w:pPr>
      <w:rPr>
        <w:rFonts w:ascii="Wingdings" w:hAnsi="Wingdings"/>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2F625C8"/>
    <w:multiLevelType w:val="hybridMultilevel"/>
    <w:lvl w:ilvl="0" w:tplc="347D985A">
      <w:start w:val="1"/>
      <w:numFmt w:val="bullet"/>
      <w:suff w:val="tab"/>
      <w:lvlText w:val=""/>
      <w:lvlJc w:val="left"/>
      <w:pPr>
        <w:ind w:hanging="360" w:left="720"/>
        <w:tabs>
          <w:tab w:val="left" w:pos="720" w:leader="none"/>
        </w:tabs>
      </w:pPr>
      <w:rPr>
        <w:rFonts w:ascii="Symbol" w:hAnsi="Symbol"/>
      </w:rPr>
    </w:lvl>
    <w:lvl w:ilvl="1" w:tplc="5CE3F097">
      <w:start w:val="1"/>
      <w:numFmt w:val="bullet"/>
      <w:suff w:val="tab"/>
      <w:lvlText w:val="o"/>
      <w:lvlJc w:val="left"/>
      <w:pPr>
        <w:ind w:hanging="360" w:left="1440"/>
        <w:tabs>
          <w:tab w:val="left" w:pos="1440" w:leader="none"/>
        </w:tabs>
      </w:pPr>
      <w:rPr>
        <w:rFonts w:ascii="Courier New" w:hAnsi="Courier New"/>
      </w:rPr>
    </w:lvl>
    <w:lvl w:ilvl="2" w:tplc="24B3360A">
      <w:start w:val="1"/>
      <w:numFmt w:val="bullet"/>
      <w:suff w:val="tab"/>
      <w:lvlText w:val=""/>
      <w:lvlJc w:val="left"/>
      <w:pPr>
        <w:ind w:hanging="360" w:left="2160"/>
        <w:tabs>
          <w:tab w:val="left" w:pos="2160" w:leader="none"/>
        </w:tabs>
      </w:pPr>
      <w:rPr>
        <w:rFonts w:ascii="Wingdings" w:hAnsi="Wingdings"/>
      </w:rPr>
    </w:lvl>
    <w:lvl w:ilvl="3" w:tplc="532978A6">
      <w:start w:val="1"/>
      <w:numFmt w:val="bullet"/>
      <w:suff w:val="tab"/>
      <w:lvlText w:val=""/>
      <w:lvlJc w:val="left"/>
      <w:pPr>
        <w:ind w:hanging="360" w:left="2880"/>
        <w:tabs>
          <w:tab w:val="left" w:pos="2880" w:leader="none"/>
        </w:tabs>
      </w:pPr>
      <w:rPr>
        <w:rFonts w:ascii="Symbol" w:hAnsi="Symbol"/>
      </w:rPr>
    </w:lvl>
    <w:lvl w:ilvl="4" w:tplc="1D52995A">
      <w:start w:val="1"/>
      <w:numFmt w:val="bullet"/>
      <w:suff w:val="tab"/>
      <w:lvlText w:val="o"/>
      <w:lvlJc w:val="left"/>
      <w:pPr>
        <w:ind w:hanging="360" w:left="3600"/>
        <w:tabs>
          <w:tab w:val="left" w:pos="3600" w:leader="none"/>
        </w:tabs>
      </w:pPr>
      <w:rPr>
        <w:rFonts w:ascii="Courier New" w:hAnsi="Courier New"/>
      </w:rPr>
    </w:lvl>
    <w:lvl w:ilvl="5" w:tplc="0286D156">
      <w:start w:val="1"/>
      <w:numFmt w:val="bullet"/>
      <w:suff w:val="tab"/>
      <w:lvlText w:val=""/>
      <w:lvlJc w:val="left"/>
      <w:pPr>
        <w:ind w:hanging="360" w:left="4320"/>
        <w:tabs>
          <w:tab w:val="left" w:pos="4320" w:leader="none"/>
        </w:tabs>
      </w:pPr>
      <w:rPr>
        <w:rFonts w:ascii="Wingdings" w:hAnsi="Wingdings"/>
      </w:rPr>
    </w:lvl>
    <w:lvl w:ilvl="6" w:tplc="485D5D7E">
      <w:start w:val="1"/>
      <w:numFmt w:val="bullet"/>
      <w:suff w:val="tab"/>
      <w:lvlText w:val=""/>
      <w:lvlJc w:val="left"/>
      <w:pPr>
        <w:ind w:hanging="360" w:left="5040"/>
        <w:tabs>
          <w:tab w:val="left" w:pos="5040" w:leader="none"/>
        </w:tabs>
      </w:pPr>
      <w:rPr>
        <w:rFonts w:ascii="Symbol" w:hAnsi="Symbol"/>
      </w:rPr>
    </w:lvl>
    <w:lvl w:ilvl="7" w:tplc="78F4B269">
      <w:start w:val="1"/>
      <w:numFmt w:val="bullet"/>
      <w:suff w:val="tab"/>
      <w:lvlText w:val="o"/>
      <w:lvlJc w:val="left"/>
      <w:pPr>
        <w:ind w:hanging="360" w:left="5760"/>
        <w:tabs>
          <w:tab w:val="left" w:pos="5760" w:leader="none"/>
        </w:tabs>
      </w:pPr>
      <w:rPr>
        <w:rFonts w:ascii="Courier New" w:hAnsi="Courier New"/>
      </w:rPr>
    </w:lvl>
    <w:lvl w:ilvl="8" w:tplc="30530F19">
      <w:start w:val="1"/>
      <w:numFmt w:val="bullet"/>
      <w:suff w:val="tab"/>
      <w:lvlText w:val=""/>
      <w:lvlJc w:val="left"/>
      <w:pPr>
        <w:ind w:hanging="360" w:left="6480"/>
        <w:tabs>
          <w:tab w:val="left" w:pos="6480" w:leader="none"/>
        </w:tabs>
      </w:pPr>
      <w:rPr>
        <w:rFonts w:ascii="Wingdings" w:hAnsi="Wingdings"/>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2"/>
  </w:num>
  <w:num w:numId="6">
    <w:abstractNumId w:val="5"/>
  </w:num>
  <w:num w:numId="7">
    <w:abstractNumId w:val="8"/>
  </w:num>
  <w:num w:numId="8">
    <w:abstractNumId w:val="3"/>
  </w:num>
  <w:num w:numId="9">
    <w:abstractNumId w:val="13"/>
  </w:num>
  <w:num w:numId="10">
    <w:abstractNumId w:val="7"/>
  </w:num>
  <w:num w:numId="11">
    <w:abstractNumId w:val="4"/>
  </w:num>
  <w:num w:numId="12">
    <w:abstractNumId w:val="2"/>
  </w:num>
  <w:num w:numId="13">
    <w:abstractNumId w:val="9"/>
  </w:num>
  <w:num w:numId="14">
    <w:abstractNumId w:val="1"/>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19"/>
    <w:pPr/>
    <w:rPr>
      <w:rFonts w:ascii="Courier New" w:hAnsi="Courier New"/>
      <w:sz w:val="20"/>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Body Text + Arial"/>
    <w:aliases w:val="Underline"/>
    <w:basedOn w:val="P1"/>
    <w:next w:val="P30"/>
    <w:pPr/>
    <w:rPr/>
  </w:style>
  <w:style w:type="paragraph" w:styleId="P31">
    <w:name w:val="Comment Subject"/>
    <w:basedOn w:val="P2"/>
    <w:next w:val="P2"/>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2"/>
    <w:next w:val="P35"/>
    <w:link w:val="C9"/>
    <w:qFormat/>
    <w:pPr>
      <w:numPr>
        <w:numId w:val="23"/>
      </w:numPr>
      <w:tabs>
        <w:tab w:val="clear" w:pos="720" w:leader="none"/>
      </w:tabs>
      <w:spacing w:before="160"/>
      <w:outlineLvl w:val="0"/>
    </w:pPr>
    <w:rPr>
      <w:rFonts w:ascii="Calibri" w:hAnsi="Calibri"/>
      <w:caps w:val="1"/>
    </w:rPr>
  </w:style>
  <w:style w:type="paragraph" w:styleId="P36">
    <w:name w:val="Heading 2"/>
    <w:basedOn w:val="P22"/>
    <w:next w:val="P0"/>
    <w:link w:val="C10"/>
    <w:qFormat/>
    <w:pPr>
      <w:numPr>
        <w:ilvl w:val="1"/>
        <w:numId w:val="23"/>
      </w:numPr>
      <w:spacing w:before="80"/>
      <w:outlineLvl w:val="1"/>
    </w:pPr>
    <w:rPr>
      <w:rFonts w:ascii="Calibri" w:hAnsi="Calibri"/>
      <w:u w:val="single"/>
    </w:rPr>
  </w:style>
  <w:style w:type="paragraph" w:styleId="P37">
    <w:name w:val="Heading 3"/>
    <w:basedOn w:val="P22"/>
    <w:next w:val="P37"/>
    <w:link w:val="C7"/>
    <w:qFormat/>
    <w:pPr>
      <w:numPr>
        <w:ilvl w:val="2"/>
        <w:numId w:val="23"/>
      </w:numPr>
      <w:contextualSpacing w:val="1"/>
      <w:outlineLvl w:val="2"/>
    </w:pPr>
    <w:rPr/>
  </w:style>
  <w:style w:type="paragraph" w:styleId="P38">
    <w:name w:val="Heading 4"/>
    <w:basedOn w:val="P22"/>
    <w:next w:val="P38"/>
    <w:link w:val="C11"/>
    <w:qFormat/>
    <w:pPr>
      <w:numPr>
        <w:ilvl w:val="3"/>
        <w:numId w:val="23"/>
      </w:numPr>
      <w:contextualSpacing w:val="1"/>
      <w:outlineLvl w:val="3"/>
    </w:pPr>
    <w:rPr/>
  </w:style>
  <w:style w:type="paragraph" w:styleId="P39">
    <w:name w:val="Heading 7"/>
    <w:basedOn w:val="P22"/>
    <w:next w:val="P0"/>
    <w:link w:val="C14"/>
    <w:qFormat/>
    <w:pPr>
      <w:numPr>
        <w:ilvl w:val="6"/>
        <w:numId w:val="23"/>
      </w:numPr>
      <w:contextualSpacing w:val="1"/>
      <w:outlineLvl w:val="6"/>
    </w:pPr>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2"/>
    <w:qFormat/>
    <w:pPr>
      <w:numPr>
        <w:ilvl w:val="4"/>
        <w:numId w:val="23"/>
      </w:numPr>
      <w:outlineLvl w:val="4"/>
    </w:pPr>
    <w:rPr/>
  </w:style>
  <w:style w:type="paragraph" w:styleId="P46">
    <w:name w:val="Heading 8"/>
    <w:basedOn w:val="P39"/>
    <w:next w:val="P0"/>
    <w:link w:val="C15"/>
    <w:qFormat/>
    <w:pPr>
      <w:numPr>
        <w:ilvl w:val="7"/>
        <w:numId w:val="23"/>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3"/>
    <w:qFormat/>
    <w:pPr>
      <w:numPr>
        <w:ilvl w:val="5"/>
        <w:numId w:val="23"/>
      </w:numPr>
      <w:outlineLvl w:val="5"/>
    </w:pPr>
    <w:rPr/>
  </w:style>
  <w:style w:type="paragraph" w:styleId="P50">
    <w:name w:val="Heading 9"/>
    <w:basedOn w:val="P46"/>
    <w:next w:val="P0"/>
    <w:link w:val="C16"/>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7"/>
    <w:rPr/>
  </w:style>
  <w:style w:type="character" w:styleId="C8">
    <w:name w:val="Heading 3 Char1"/>
    <w:rPr>
      <w:rFonts w:ascii="Arial" w:hAnsi="Arial"/>
    </w:rPr>
  </w:style>
  <w:style w:type="character" w:styleId="C9">
    <w:name w:val="Heading 1 Char"/>
    <w:link w:val="P35"/>
    <w:rPr>
      <w:rFonts w:ascii="Calibri" w:hAnsi="Calibri"/>
      <w:caps w:val="1"/>
    </w:rPr>
  </w:style>
  <w:style w:type="character" w:styleId="C10">
    <w:name w:val="Heading 2 Char"/>
    <w:link w:val="P36"/>
    <w:rPr>
      <w:rFonts w:ascii="Calibri" w:hAnsi="Calibri"/>
      <w:u w:val="single"/>
    </w:rPr>
  </w:style>
  <w:style w:type="character" w:styleId="C11">
    <w:name w:val="Heading 4 Char"/>
    <w:link w:val="P38"/>
    <w:rPr/>
  </w:style>
  <w:style w:type="character" w:styleId="C12">
    <w:name w:val="Heading 5 Char"/>
    <w:link w:val="P45"/>
    <w:rPr/>
  </w:style>
  <w:style w:type="character" w:styleId="C13">
    <w:name w:val="Heading 6 Char"/>
    <w:link w:val="P49"/>
    <w:rPr/>
  </w:style>
  <w:style w:type="character" w:styleId="C14">
    <w:name w:val="Heading 7 Char"/>
    <w:link w:val="P39"/>
    <w:rPr/>
  </w:style>
  <w:style w:type="character" w:styleId="C15">
    <w:name w:val="Heading 8 Char"/>
    <w:link w:val="P46"/>
    <w:rPr/>
  </w:style>
  <w:style w:type="character" w:styleId="C16">
    <w:name w:val="Heading 9 Char"/>
    <w:link w:val="P50"/>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APOSTOLG</dc:creator>
  <dcterms:created xsi:type="dcterms:W3CDTF">2015-10-19T13:27:00Z</dcterms:created>
  <cp:lastModifiedBy>Ray</cp:lastModifiedBy>
  <cp:lastPrinted>2006-08-29T19:54:00Z</cp:lastPrinted>
  <dcterms:modified xsi:type="dcterms:W3CDTF">2022-10-04T19:38:51Z</dcterms:modified>
  <cp:revision>3</cp:revision>
  <dc:title>04090_Masonry_Accessories (Oct 19,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2015-10-19T00:00:00Z</vt:lpwstr>
  </property>
</Properties>
</file>